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7334" w14:textId="77777777" w:rsidR="00D8514E" w:rsidRDefault="00D8514E" w:rsidP="00D8514E">
      <w:pPr>
        <w:spacing w:before="14" w:line="228" w:lineRule="exact"/>
        <w:textAlignment w:val="baseline"/>
        <w:rPr>
          <w:rFonts w:ascii="Arial" w:eastAsia="Arial" w:hAnsi="Arial"/>
          <w:color w:val="000000"/>
          <w:spacing w:val="-1"/>
          <w:sz w:val="20"/>
        </w:rPr>
      </w:pPr>
      <w:r>
        <w:rPr>
          <w:rFonts w:ascii="Arial" w:eastAsia="Arial" w:hAnsi="Arial"/>
          <w:noProof/>
          <w:color w:val="000000"/>
          <w:spacing w:val="-1"/>
          <w:sz w:val="20"/>
        </w:rPr>
        <w:drawing>
          <wp:anchor distT="0" distB="0" distL="114300" distR="114300" simplePos="0" relativeHeight="251659264" behindDoc="0" locked="0" layoutInCell="1" allowOverlap="1" wp14:anchorId="5B1D740C" wp14:editId="13F9D73D">
            <wp:simplePos x="0" y="0"/>
            <wp:positionH relativeFrom="column">
              <wp:posOffset>4383405</wp:posOffset>
            </wp:positionH>
            <wp:positionV relativeFrom="paragraph">
              <wp:posOffset>-68580</wp:posOffset>
            </wp:positionV>
            <wp:extent cx="2286000" cy="244475"/>
            <wp:effectExtent l="0" t="0" r="0" b="3175"/>
            <wp:wrapNone/>
            <wp:docPr id="1" name="Picture 1" descr="PIMCO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MCO Logo 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olor w:val="000000"/>
          <w:spacing w:val="-1"/>
          <w:sz w:val="20"/>
        </w:rPr>
        <w:t>PRESS RELEASE</w:t>
      </w:r>
    </w:p>
    <w:p w14:paraId="4FEB8E6C" w14:textId="77777777" w:rsidR="00D8514E" w:rsidRDefault="00D8514E" w:rsidP="00D8514E">
      <w:pPr>
        <w:spacing w:before="3" w:line="228" w:lineRule="exact"/>
        <w:textAlignment w:val="baseline"/>
        <w:rPr>
          <w:rFonts w:ascii="Arial" w:eastAsia="Arial" w:hAnsi="Arial"/>
          <w:color w:val="000000"/>
          <w:spacing w:val="-2"/>
          <w:sz w:val="20"/>
        </w:rPr>
      </w:pPr>
      <w:r>
        <w:rPr>
          <w:rFonts w:ascii="Arial" w:eastAsia="Arial" w:hAnsi="Arial"/>
          <w:color w:val="000000"/>
          <w:spacing w:val="-2"/>
          <w:sz w:val="20"/>
        </w:rPr>
        <w:t>Contact:</w:t>
      </w:r>
    </w:p>
    <w:p w14:paraId="1AC39ABB" w14:textId="77777777" w:rsidR="00D8514E" w:rsidRPr="009D33B9" w:rsidRDefault="00D8514E" w:rsidP="00D8514E">
      <w:pPr>
        <w:spacing w:before="2" w:line="228" w:lineRule="exact"/>
        <w:textAlignment w:val="baseline"/>
        <w:rPr>
          <w:rFonts w:ascii="Arial" w:eastAsia="Arial" w:hAnsi="Arial"/>
          <w:b/>
          <w:color w:val="000000"/>
          <w:spacing w:val="-1"/>
          <w:sz w:val="20"/>
        </w:rPr>
      </w:pPr>
      <w:r w:rsidRPr="009D33B9">
        <w:rPr>
          <w:rFonts w:ascii="Arial" w:eastAsia="Arial" w:hAnsi="Arial"/>
          <w:b/>
          <w:color w:val="000000"/>
          <w:spacing w:val="-1"/>
          <w:sz w:val="20"/>
        </w:rPr>
        <w:t>Agnes Crane</w:t>
      </w:r>
    </w:p>
    <w:p w14:paraId="5D13B513" w14:textId="77777777" w:rsidR="00D8514E" w:rsidRDefault="00D8514E" w:rsidP="00D8514E">
      <w:pPr>
        <w:spacing w:before="1" w:line="230" w:lineRule="exact"/>
        <w:ind w:right="7776"/>
        <w:textAlignment w:val="baseline"/>
        <w:rPr>
          <w:rFonts w:ascii="Arial" w:eastAsia="Arial" w:hAnsi="Arial"/>
          <w:color w:val="000000"/>
          <w:sz w:val="20"/>
        </w:rPr>
      </w:pPr>
      <w:r>
        <w:rPr>
          <w:rFonts w:ascii="Arial" w:eastAsia="Arial" w:hAnsi="Arial"/>
          <w:color w:val="000000"/>
          <w:sz w:val="20"/>
        </w:rPr>
        <w:t>PIMCO –</w:t>
      </w:r>
      <w:r w:rsidR="003C7D9B">
        <w:rPr>
          <w:rFonts w:ascii="Arial" w:eastAsia="Arial" w:hAnsi="Arial"/>
          <w:color w:val="000000"/>
          <w:sz w:val="20"/>
        </w:rPr>
        <w:t xml:space="preserve"> Media Relations Phone: +212 597</w:t>
      </w:r>
      <w:r>
        <w:rPr>
          <w:rFonts w:ascii="Arial" w:eastAsia="Arial" w:hAnsi="Arial"/>
          <w:color w:val="000000"/>
          <w:sz w:val="20"/>
        </w:rPr>
        <w:t>.</w:t>
      </w:r>
      <w:r w:rsidR="003C7D9B">
        <w:rPr>
          <w:rFonts w:ascii="Arial" w:eastAsia="Arial" w:hAnsi="Arial"/>
          <w:color w:val="000000"/>
          <w:sz w:val="20"/>
        </w:rPr>
        <w:t>1054</w:t>
      </w:r>
    </w:p>
    <w:p w14:paraId="58167C22" w14:textId="77777777" w:rsidR="00827F50" w:rsidRDefault="00827F50" w:rsidP="00D8514E">
      <w:pPr>
        <w:spacing w:before="1" w:line="230" w:lineRule="exact"/>
        <w:ind w:right="7776"/>
        <w:textAlignment w:val="baseline"/>
        <w:rPr>
          <w:rFonts w:ascii="Arial" w:eastAsia="Arial" w:hAnsi="Arial"/>
          <w:color w:val="000000"/>
          <w:sz w:val="20"/>
        </w:rPr>
      </w:pPr>
    </w:p>
    <w:p w14:paraId="71A50335" w14:textId="77777777" w:rsidR="00D8514E" w:rsidRDefault="00D8514E" w:rsidP="00D8514E">
      <w:pPr>
        <w:spacing w:before="241" w:line="272" w:lineRule="exact"/>
        <w:jc w:val="center"/>
        <w:textAlignment w:val="baseline"/>
        <w:rPr>
          <w:rFonts w:ascii="Arial" w:eastAsia="Arial" w:hAnsi="Arial"/>
          <w:b/>
          <w:color w:val="000000"/>
          <w:sz w:val="24"/>
        </w:rPr>
      </w:pPr>
      <w:r>
        <w:rPr>
          <w:rFonts w:ascii="Arial" w:eastAsia="Arial" w:hAnsi="Arial"/>
          <w:b/>
          <w:color w:val="000000"/>
          <w:sz w:val="24"/>
        </w:rPr>
        <w:t xml:space="preserve">PIMCO </w:t>
      </w:r>
      <w:r w:rsidR="009E62AA">
        <w:rPr>
          <w:rFonts w:ascii="Arial" w:eastAsia="Arial" w:hAnsi="Arial"/>
          <w:b/>
          <w:color w:val="000000"/>
          <w:sz w:val="24"/>
        </w:rPr>
        <w:t>Canada Corp</w:t>
      </w:r>
      <w:r w:rsidR="00855F37">
        <w:rPr>
          <w:rFonts w:ascii="Arial" w:eastAsia="Arial" w:hAnsi="Arial"/>
          <w:b/>
          <w:color w:val="000000"/>
          <w:sz w:val="24"/>
        </w:rPr>
        <w:t xml:space="preserve">. </w:t>
      </w:r>
      <w:r>
        <w:rPr>
          <w:rFonts w:ascii="Arial" w:eastAsia="Arial" w:hAnsi="Arial"/>
          <w:b/>
          <w:color w:val="000000"/>
          <w:sz w:val="24"/>
        </w:rPr>
        <w:br/>
        <w:t xml:space="preserve">Announces </w:t>
      </w:r>
      <w:r w:rsidR="009D33B9">
        <w:rPr>
          <w:rFonts w:ascii="Arial" w:eastAsia="Arial" w:hAnsi="Arial"/>
          <w:b/>
          <w:color w:val="000000"/>
          <w:sz w:val="24"/>
        </w:rPr>
        <w:t>Monthly Distribution</w:t>
      </w:r>
      <w:r w:rsidR="009E62AA">
        <w:rPr>
          <w:rFonts w:ascii="Arial" w:eastAsia="Arial" w:hAnsi="Arial"/>
          <w:b/>
          <w:color w:val="000000"/>
          <w:sz w:val="24"/>
        </w:rPr>
        <w:t xml:space="preserve">s for PIMCO Canada Exchange Traded </w:t>
      </w:r>
      <w:r w:rsidR="001E619A">
        <w:rPr>
          <w:rFonts w:ascii="Arial" w:eastAsia="Arial" w:hAnsi="Arial"/>
          <w:b/>
          <w:color w:val="000000"/>
          <w:sz w:val="24"/>
        </w:rPr>
        <w:t xml:space="preserve">Series </w:t>
      </w:r>
    </w:p>
    <w:p w14:paraId="627906CE" w14:textId="77777777" w:rsidR="00D8514E" w:rsidRDefault="00D8514E" w:rsidP="00D8514E">
      <w:pPr>
        <w:spacing w:before="6" w:line="273" w:lineRule="exact"/>
        <w:ind w:left="720"/>
        <w:textAlignment w:val="baseline"/>
        <w:rPr>
          <w:rFonts w:eastAsia="Times New Roman"/>
          <w:i/>
          <w:color w:val="000000"/>
          <w:sz w:val="24"/>
        </w:rPr>
      </w:pPr>
      <w:r>
        <w:rPr>
          <w:rFonts w:eastAsia="Times New Roman"/>
          <w:i/>
          <w:color w:val="000000"/>
          <w:sz w:val="24"/>
        </w:rPr>
        <w:t>Not for distribution to United States newswire services or for dissemination in the United States</w:t>
      </w:r>
    </w:p>
    <w:p w14:paraId="58070518" w14:textId="06A7889B" w:rsidR="0097073D" w:rsidRDefault="0097073D" w:rsidP="0097073D">
      <w:pPr>
        <w:tabs>
          <w:tab w:val="left" w:pos="10170"/>
        </w:tabs>
        <w:spacing w:before="275" w:line="230" w:lineRule="exact"/>
        <w:ind w:right="10"/>
        <w:jc w:val="both"/>
        <w:textAlignment w:val="baseline"/>
        <w:rPr>
          <w:rFonts w:ascii="Arial" w:eastAsia="Arial" w:hAnsi="Arial" w:cs="Arial"/>
          <w:color w:val="000000"/>
          <w:sz w:val="20"/>
          <w:szCs w:val="20"/>
        </w:rPr>
      </w:pPr>
      <w:r>
        <w:rPr>
          <w:rFonts w:ascii="Arial" w:eastAsia="Arial" w:hAnsi="Arial" w:cs="Arial"/>
          <w:b/>
          <w:color w:val="000000"/>
          <w:sz w:val="20"/>
          <w:szCs w:val="20"/>
        </w:rPr>
        <w:t>TORONTO, ONTARIO (</w:t>
      </w:r>
      <w:r w:rsidR="00C24F4F">
        <w:rPr>
          <w:rFonts w:ascii="Arial" w:eastAsia="Arial" w:hAnsi="Arial" w:cs="Arial"/>
          <w:b/>
          <w:color w:val="000000"/>
          <w:sz w:val="20"/>
          <w:szCs w:val="20"/>
        </w:rPr>
        <w:t>May 16</w:t>
      </w:r>
      <w:r w:rsidR="00A37C31">
        <w:rPr>
          <w:rFonts w:ascii="Arial" w:eastAsia="Arial" w:hAnsi="Arial" w:cs="Arial"/>
          <w:b/>
          <w:color w:val="000000"/>
          <w:sz w:val="20"/>
          <w:szCs w:val="20"/>
        </w:rPr>
        <w:t>, 2025</w:t>
      </w:r>
      <w:r>
        <w:rPr>
          <w:rFonts w:ascii="Arial" w:eastAsia="Arial" w:hAnsi="Arial" w:cs="Arial"/>
          <w:b/>
          <w:color w:val="000000"/>
          <w:sz w:val="20"/>
          <w:szCs w:val="20"/>
        </w:rPr>
        <w:t xml:space="preserve">) </w:t>
      </w:r>
      <w:r>
        <w:rPr>
          <w:rFonts w:ascii="Arial" w:eastAsia="Arial" w:hAnsi="Arial" w:cs="Arial"/>
          <w:color w:val="000000"/>
          <w:sz w:val="20"/>
          <w:szCs w:val="20"/>
        </w:rPr>
        <w:t xml:space="preserve">– PIMCO Canada Corp. (“PIMCO Canada”) today announced the </w:t>
      </w:r>
      <w:r w:rsidR="00A37C31">
        <w:rPr>
          <w:rFonts w:ascii="Arial" w:eastAsia="Arial" w:hAnsi="Arial" w:cs="Arial"/>
          <w:color w:val="000000"/>
          <w:sz w:val="20"/>
          <w:szCs w:val="20"/>
        </w:rPr>
        <w:t>2025</w:t>
      </w:r>
      <w:r>
        <w:rPr>
          <w:rFonts w:ascii="Arial" w:eastAsia="Arial" w:hAnsi="Arial" w:cs="Arial"/>
          <w:color w:val="000000"/>
          <w:sz w:val="20"/>
          <w:szCs w:val="20"/>
        </w:rPr>
        <w:t xml:space="preserve"> </w:t>
      </w:r>
      <w:r w:rsidR="00C24F4F">
        <w:rPr>
          <w:rFonts w:ascii="Arial" w:eastAsia="Arial" w:hAnsi="Arial" w:cs="Arial"/>
          <w:color w:val="000000"/>
          <w:sz w:val="20"/>
          <w:szCs w:val="20"/>
        </w:rPr>
        <w:t>May</w:t>
      </w:r>
      <w:r>
        <w:rPr>
          <w:rFonts w:ascii="Arial" w:eastAsia="Arial" w:hAnsi="Arial" w:cs="Arial"/>
          <w:color w:val="000000"/>
          <w:sz w:val="20"/>
          <w:szCs w:val="20"/>
        </w:rPr>
        <w:t xml:space="preserve"> cash distributions for the ETF series (“ETF Series”) of the PIMCO Canada mutual funds that distribute monthly (“Funds”). Unitholders of record of the ETF Series, at </w:t>
      </w:r>
      <w:r w:rsidR="005C3793">
        <w:rPr>
          <w:rFonts w:ascii="Arial" w:eastAsia="Arial" w:hAnsi="Arial" w:cs="Arial"/>
          <w:color w:val="000000"/>
          <w:sz w:val="20"/>
          <w:szCs w:val="20"/>
        </w:rPr>
        <w:t xml:space="preserve">the close of business on </w:t>
      </w:r>
      <w:r w:rsidR="00C24F4F">
        <w:rPr>
          <w:rFonts w:ascii="Arial" w:eastAsia="Arial" w:hAnsi="Arial" w:cs="Arial"/>
          <w:color w:val="000000"/>
          <w:sz w:val="20"/>
          <w:szCs w:val="20"/>
        </w:rPr>
        <w:t>May</w:t>
      </w:r>
      <w:r w:rsidR="003E3E9E">
        <w:rPr>
          <w:rFonts w:ascii="Arial" w:eastAsia="Arial" w:hAnsi="Arial" w:cs="Arial"/>
          <w:color w:val="000000"/>
          <w:sz w:val="20"/>
          <w:szCs w:val="20"/>
        </w:rPr>
        <w:t xml:space="preserve"> 22</w:t>
      </w:r>
      <w:r w:rsidR="005C3793">
        <w:rPr>
          <w:rFonts w:ascii="Arial" w:eastAsia="Arial" w:hAnsi="Arial" w:cs="Arial"/>
          <w:color w:val="000000"/>
          <w:sz w:val="20"/>
          <w:szCs w:val="20"/>
        </w:rPr>
        <w:t xml:space="preserve">, 2025, will receive per-unit cash distribution payable on or about </w:t>
      </w:r>
      <w:r w:rsidR="00C24F4F">
        <w:rPr>
          <w:rFonts w:ascii="Arial" w:eastAsia="Arial" w:hAnsi="Arial" w:cs="Arial"/>
          <w:color w:val="000000"/>
          <w:sz w:val="20"/>
          <w:szCs w:val="20"/>
        </w:rPr>
        <w:t>May</w:t>
      </w:r>
      <w:r w:rsidR="003E3E9E">
        <w:rPr>
          <w:rFonts w:ascii="Arial" w:eastAsia="Arial" w:hAnsi="Arial" w:cs="Arial"/>
          <w:color w:val="000000"/>
          <w:sz w:val="20"/>
          <w:szCs w:val="20"/>
        </w:rPr>
        <w:t xml:space="preserve"> 30</w:t>
      </w:r>
      <w:r w:rsidR="00A37C31">
        <w:rPr>
          <w:rFonts w:ascii="Arial" w:eastAsia="Arial" w:hAnsi="Arial" w:cs="Arial"/>
          <w:color w:val="000000"/>
          <w:sz w:val="20"/>
          <w:szCs w:val="20"/>
        </w:rPr>
        <w:t>, 2025</w:t>
      </w:r>
      <w:r>
        <w:rPr>
          <w:rFonts w:ascii="Arial" w:eastAsia="Arial" w:hAnsi="Arial" w:cs="Arial"/>
          <w:color w:val="000000"/>
          <w:sz w:val="20"/>
          <w:szCs w:val="20"/>
        </w:rPr>
        <w:t>.</w:t>
      </w:r>
    </w:p>
    <w:p w14:paraId="205B5804" w14:textId="77777777" w:rsidR="0097073D" w:rsidRDefault="0097073D" w:rsidP="0097073D">
      <w:pPr>
        <w:tabs>
          <w:tab w:val="left" w:pos="10170"/>
        </w:tabs>
        <w:spacing w:before="275" w:line="230" w:lineRule="exact"/>
        <w:ind w:right="10"/>
        <w:jc w:val="both"/>
        <w:textAlignment w:val="baseline"/>
        <w:rPr>
          <w:rFonts w:ascii="Arial" w:eastAsia="Arial" w:hAnsi="Arial" w:cs="Arial"/>
          <w:color w:val="000000"/>
          <w:sz w:val="20"/>
          <w:szCs w:val="20"/>
        </w:rPr>
      </w:pPr>
      <w:r>
        <w:rPr>
          <w:rFonts w:ascii="Arial" w:eastAsia="Arial" w:hAnsi="Arial" w:cs="Arial"/>
          <w:color w:val="000000"/>
          <w:sz w:val="20"/>
          <w:szCs w:val="20"/>
        </w:rPr>
        <w:t>Details of the per-unit cash distribution amount are as follow:</w:t>
      </w:r>
    </w:p>
    <w:p w14:paraId="6B4C5350" w14:textId="77777777" w:rsidR="0097073D" w:rsidRDefault="0097073D" w:rsidP="0097073D">
      <w:pPr>
        <w:pStyle w:val="NoSpacing"/>
      </w:pPr>
    </w:p>
    <w:tbl>
      <w:tblPr>
        <w:tblW w:w="455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06"/>
        <w:gridCol w:w="1253"/>
        <w:gridCol w:w="2797"/>
      </w:tblGrid>
      <w:tr w:rsidR="0097073D" w14:paraId="2342B1A2" w14:textId="77777777" w:rsidTr="0097073D">
        <w:trPr>
          <w:jc w:val="center"/>
        </w:trPr>
        <w:tc>
          <w:tcPr>
            <w:tcW w:w="28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6A25174D" w14:textId="77777777" w:rsidR="0097073D" w:rsidRDefault="0097073D">
            <w:pPr>
              <w:rPr>
                <w:rFonts w:ascii="Arial" w:eastAsia="Times New Roman" w:hAnsi="Arial" w:cs="Arial"/>
                <w:sz w:val="20"/>
                <w:szCs w:val="20"/>
              </w:rPr>
            </w:pPr>
            <w:r>
              <w:rPr>
                <w:rFonts w:ascii="Arial" w:eastAsia="Times New Roman" w:hAnsi="Arial" w:cs="Arial"/>
                <w:b/>
                <w:bCs/>
                <w:sz w:val="20"/>
                <w:szCs w:val="20"/>
              </w:rPr>
              <w:t>Fund Name</w:t>
            </w:r>
          </w:p>
        </w:tc>
        <w:tc>
          <w:tcPr>
            <w:tcW w:w="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2BFBCCE6" w14:textId="77777777" w:rsidR="0097073D" w:rsidRDefault="0097073D">
            <w:pPr>
              <w:rPr>
                <w:rFonts w:ascii="Arial" w:eastAsia="Times New Roman" w:hAnsi="Arial" w:cs="Arial"/>
                <w:sz w:val="20"/>
                <w:szCs w:val="20"/>
              </w:rPr>
            </w:pPr>
            <w:r>
              <w:rPr>
                <w:rFonts w:ascii="Arial" w:eastAsia="Times New Roman" w:hAnsi="Arial" w:cs="Arial"/>
                <w:b/>
                <w:bCs/>
                <w:sz w:val="20"/>
                <w:szCs w:val="20"/>
              </w:rPr>
              <w:t xml:space="preserve">Ticker </w:t>
            </w:r>
          </w:p>
        </w:tc>
        <w:tc>
          <w:tcPr>
            <w:tcW w:w="1511" w:type="pct"/>
            <w:tcBorders>
              <w:top w:val="single" w:sz="6" w:space="0" w:color="000000"/>
              <w:left w:val="single" w:sz="6" w:space="0" w:color="000000"/>
              <w:bottom w:val="single" w:sz="6" w:space="0" w:color="000000"/>
              <w:right w:val="single" w:sz="6" w:space="0" w:color="000000"/>
            </w:tcBorders>
            <w:vAlign w:val="bottom"/>
            <w:hideMark/>
          </w:tcPr>
          <w:p w14:paraId="75F06AEB" w14:textId="77777777" w:rsidR="0097073D" w:rsidRDefault="0097073D">
            <w:pPr>
              <w:jc w:val="center"/>
              <w:rPr>
                <w:rFonts w:ascii="Arial" w:eastAsia="Times New Roman" w:hAnsi="Arial" w:cs="Arial"/>
                <w:sz w:val="20"/>
                <w:szCs w:val="20"/>
              </w:rPr>
            </w:pPr>
            <w:r>
              <w:rPr>
                <w:rFonts w:ascii="Arial" w:eastAsia="Times New Roman" w:hAnsi="Arial" w:cs="Arial"/>
                <w:b/>
                <w:bCs/>
                <w:sz w:val="20"/>
                <w:szCs w:val="20"/>
              </w:rPr>
              <w:t>Cash Distribution per Unit</w:t>
            </w:r>
          </w:p>
        </w:tc>
      </w:tr>
      <w:tr w:rsidR="0097073D" w14:paraId="4B0B17E0" w14:textId="77777777" w:rsidTr="0097073D">
        <w:trPr>
          <w:jc w:val="center"/>
        </w:trPr>
        <w:tc>
          <w:tcPr>
            <w:tcW w:w="28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A55BDB" w14:textId="77777777" w:rsidR="0097073D" w:rsidRDefault="0097073D">
            <w:pPr>
              <w:rPr>
                <w:rFonts w:ascii="Arial" w:eastAsia="Times New Roman" w:hAnsi="Arial" w:cs="Arial"/>
                <w:sz w:val="20"/>
                <w:szCs w:val="20"/>
              </w:rPr>
            </w:pPr>
            <w:r>
              <w:rPr>
                <w:rFonts w:ascii="Arial" w:hAnsi="Arial" w:cs="Arial"/>
                <w:sz w:val="20"/>
                <w:szCs w:val="20"/>
              </w:rPr>
              <w:t xml:space="preserve">PIMCO Monthly Income Fund (Canada) </w:t>
            </w:r>
          </w:p>
        </w:tc>
        <w:tc>
          <w:tcPr>
            <w:tcW w:w="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72C1CFC0" w14:textId="77777777" w:rsidR="0097073D" w:rsidRDefault="0097073D">
            <w:pPr>
              <w:rPr>
                <w:rFonts w:ascii="Arial" w:eastAsia="Times New Roman" w:hAnsi="Arial" w:cs="Arial"/>
                <w:sz w:val="20"/>
                <w:szCs w:val="20"/>
              </w:rPr>
            </w:pPr>
            <w:r>
              <w:rPr>
                <w:rFonts w:ascii="Arial" w:eastAsia="Times New Roman" w:hAnsi="Arial" w:cs="Arial"/>
                <w:sz w:val="20"/>
                <w:szCs w:val="20"/>
              </w:rPr>
              <w:t>PMIF</w:t>
            </w:r>
          </w:p>
        </w:tc>
        <w:tc>
          <w:tcPr>
            <w:tcW w:w="1511" w:type="pct"/>
            <w:tcBorders>
              <w:top w:val="single" w:sz="6" w:space="0" w:color="000000"/>
              <w:left w:val="single" w:sz="6" w:space="0" w:color="000000"/>
              <w:bottom w:val="single" w:sz="6" w:space="0" w:color="000000"/>
              <w:right w:val="single" w:sz="6" w:space="0" w:color="000000"/>
            </w:tcBorders>
            <w:hideMark/>
          </w:tcPr>
          <w:p w14:paraId="104BE7DF" w14:textId="7103C134" w:rsidR="0097073D" w:rsidRPr="00BB5EE3" w:rsidRDefault="00AE1178">
            <w:pPr>
              <w:jc w:val="right"/>
              <w:rPr>
                <w:rFonts w:ascii="Arial" w:hAnsi="Arial" w:cs="Arial"/>
                <w:sz w:val="20"/>
                <w:szCs w:val="20"/>
              </w:rPr>
            </w:pPr>
            <w:r w:rsidRPr="00BB5EE3">
              <w:rPr>
                <w:rFonts w:ascii="Arial" w:hAnsi="Arial" w:cs="Arial"/>
                <w:sz w:val="20"/>
                <w:szCs w:val="20"/>
              </w:rPr>
              <w:t>$</w:t>
            </w:r>
            <w:r w:rsidR="00C24F4F" w:rsidRPr="00C24F4F">
              <w:rPr>
                <w:rFonts w:ascii="Arial" w:hAnsi="Arial" w:cs="Arial"/>
                <w:sz w:val="20"/>
                <w:szCs w:val="20"/>
              </w:rPr>
              <w:t>0.07191</w:t>
            </w:r>
          </w:p>
        </w:tc>
      </w:tr>
      <w:tr w:rsidR="0097073D" w14:paraId="73E9DF98" w14:textId="77777777" w:rsidTr="0097073D">
        <w:trPr>
          <w:jc w:val="center"/>
        </w:trPr>
        <w:tc>
          <w:tcPr>
            <w:tcW w:w="28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9FB941" w14:textId="77777777" w:rsidR="0097073D" w:rsidRDefault="0097073D">
            <w:pPr>
              <w:rPr>
                <w:rFonts w:ascii="Arial" w:hAnsi="Arial" w:cs="Arial"/>
                <w:sz w:val="20"/>
                <w:szCs w:val="20"/>
              </w:rPr>
            </w:pPr>
            <w:r>
              <w:rPr>
                <w:rFonts w:ascii="Arial" w:hAnsi="Arial" w:cs="Arial"/>
                <w:sz w:val="20"/>
                <w:szCs w:val="20"/>
              </w:rPr>
              <w:t>PIMCO Monthly Income Fund (Canada) US$</w:t>
            </w:r>
          </w:p>
        </w:tc>
        <w:tc>
          <w:tcPr>
            <w:tcW w:w="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2192B407" w14:textId="77777777" w:rsidR="0097073D" w:rsidRDefault="0097073D">
            <w:pPr>
              <w:rPr>
                <w:rFonts w:ascii="Arial" w:eastAsia="Times New Roman" w:hAnsi="Arial" w:cs="Arial"/>
                <w:sz w:val="20"/>
                <w:szCs w:val="20"/>
              </w:rPr>
            </w:pPr>
            <w:r>
              <w:rPr>
                <w:rFonts w:ascii="Arial" w:eastAsia="Times New Roman" w:hAnsi="Arial" w:cs="Arial"/>
                <w:sz w:val="20"/>
                <w:szCs w:val="20"/>
              </w:rPr>
              <w:t xml:space="preserve">PMIF.U  </w:t>
            </w:r>
          </w:p>
        </w:tc>
        <w:tc>
          <w:tcPr>
            <w:tcW w:w="1511" w:type="pct"/>
            <w:tcBorders>
              <w:top w:val="single" w:sz="6" w:space="0" w:color="000000"/>
              <w:left w:val="single" w:sz="6" w:space="0" w:color="000000"/>
              <w:bottom w:val="single" w:sz="6" w:space="0" w:color="000000"/>
              <w:right w:val="single" w:sz="6" w:space="0" w:color="000000"/>
            </w:tcBorders>
            <w:hideMark/>
          </w:tcPr>
          <w:p w14:paraId="141139FA" w14:textId="4ECBCD8E" w:rsidR="0097073D" w:rsidRPr="00BB5EE3" w:rsidRDefault="00AE1178">
            <w:pPr>
              <w:jc w:val="right"/>
              <w:rPr>
                <w:rFonts w:ascii="Arial" w:hAnsi="Arial" w:cs="Arial"/>
                <w:sz w:val="20"/>
                <w:szCs w:val="20"/>
              </w:rPr>
            </w:pPr>
            <w:r w:rsidRPr="00BB5EE3">
              <w:rPr>
                <w:rFonts w:ascii="Arial" w:hAnsi="Arial" w:cs="Arial"/>
                <w:sz w:val="20"/>
                <w:szCs w:val="20"/>
              </w:rPr>
              <w:t>US $</w:t>
            </w:r>
            <w:r w:rsidR="00C24F4F" w:rsidRPr="00C24F4F">
              <w:rPr>
                <w:rFonts w:ascii="Arial" w:hAnsi="Arial" w:cs="Arial"/>
                <w:sz w:val="20"/>
                <w:szCs w:val="20"/>
              </w:rPr>
              <w:t>0.0764</w:t>
            </w:r>
            <w:r w:rsidR="00C24F4F">
              <w:rPr>
                <w:rFonts w:ascii="Arial" w:hAnsi="Arial" w:cs="Arial"/>
                <w:sz w:val="20"/>
                <w:szCs w:val="20"/>
              </w:rPr>
              <w:t>0</w:t>
            </w:r>
          </w:p>
        </w:tc>
      </w:tr>
      <w:tr w:rsidR="0097073D" w14:paraId="01AE40E0" w14:textId="77777777" w:rsidTr="0097073D">
        <w:trPr>
          <w:jc w:val="center"/>
        </w:trPr>
        <w:tc>
          <w:tcPr>
            <w:tcW w:w="28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33B7C3" w14:textId="77777777" w:rsidR="0097073D" w:rsidRDefault="0097073D">
            <w:pPr>
              <w:rPr>
                <w:rFonts w:ascii="Arial" w:hAnsi="Arial" w:cs="Arial"/>
                <w:sz w:val="20"/>
                <w:szCs w:val="20"/>
              </w:rPr>
            </w:pPr>
            <w:r>
              <w:rPr>
                <w:rFonts w:ascii="Arial" w:hAnsi="Arial" w:cs="Arial"/>
                <w:sz w:val="20"/>
                <w:szCs w:val="20"/>
              </w:rPr>
              <w:t>PIMCO Investment Grade Credit Fund (Canada)</w:t>
            </w:r>
          </w:p>
        </w:tc>
        <w:tc>
          <w:tcPr>
            <w:tcW w:w="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511DA342" w14:textId="77777777" w:rsidR="0097073D" w:rsidRDefault="0097073D">
            <w:pPr>
              <w:rPr>
                <w:rFonts w:ascii="Arial" w:eastAsia="Times New Roman" w:hAnsi="Arial" w:cs="Arial"/>
                <w:sz w:val="20"/>
                <w:szCs w:val="20"/>
              </w:rPr>
            </w:pPr>
            <w:r>
              <w:rPr>
                <w:rFonts w:ascii="Arial" w:eastAsia="Times New Roman" w:hAnsi="Arial" w:cs="Arial"/>
                <w:sz w:val="20"/>
                <w:szCs w:val="20"/>
              </w:rPr>
              <w:t>IGCF</w:t>
            </w:r>
          </w:p>
        </w:tc>
        <w:tc>
          <w:tcPr>
            <w:tcW w:w="1511" w:type="pct"/>
            <w:tcBorders>
              <w:top w:val="single" w:sz="6" w:space="0" w:color="000000"/>
              <w:left w:val="single" w:sz="6" w:space="0" w:color="000000"/>
              <w:bottom w:val="single" w:sz="6" w:space="0" w:color="000000"/>
              <w:right w:val="single" w:sz="6" w:space="0" w:color="000000"/>
            </w:tcBorders>
            <w:hideMark/>
          </w:tcPr>
          <w:p w14:paraId="790CF8B5" w14:textId="7DE68F4C" w:rsidR="0097073D" w:rsidRPr="00BB5EE3" w:rsidRDefault="00AE1178">
            <w:pPr>
              <w:jc w:val="right"/>
              <w:rPr>
                <w:rFonts w:ascii="Arial" w:hAnsi="Arial" w:cs="Arial"/>
                <w:sz w:val="20"/>
                <w:szCs w:val="20"/>
              </w:rPr>
            </w:pPr>
            <w:r w:rsidRPr="00BB5EE3">
              <w:rPr>
                <w:rFonts w:ascii="Arial" w:hAnsi="Arial" w:cs="Arial"/>
                <w:sz w:val="20"/>
                <w:szCs w:val="20"/>
              </w:rPr>
              <w:t>$</w:t>
            </w:r>
            <w:r w:rsidR="00C24F4F" w:rsidRPr="00C24F4F">
              <w:rPr>
                <w:rFonts w:ascii="Arial" w:hAnsi="Arial" w:cs="Arial"/>
                <w:sz w:val="20"/>
                <w:szCs w:val="20"/>
              </w:rPr>
              <w:t>0.06399</w:t>
            </w:r>
          </w:p>
        </w:tc>
      </w:tr>
      <w:tr w:rsidR="0097073D" w14:paraId="2802C655" w14:textId="77777777" w:rsidTr="0097073D">
        <w:trPr>
          <w:jc w:val="center"/>
        </w:trPr>
        <w:tc>
          <w:tcPr>
            <w:tcW w:w="28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FB9470" w14:textId="77777777" w:rsidR="0097073D" w:rsidRDefault="0097073D">
            <w:pPr>
              <w:rPr>
                <w:rFonts w:ascii="Arial" w:eastAsia="Times New Roman" w:hAnsi="Arial" w:cs="Arial"/>
                <w:sz w:val="20"/>
                <w:szCs w:val="20"/>
              </w:rPr>
            </w:pPr>
            <w:r>
              <w:rPr>
                <w:rFonts w:ascii="Arial" w:hAnsi="Arial" w:cs="Arial"/>
                <w:sz w:val="20"/>
                <w:szCs w:val="20"/>
              </w:rPr>
              <w:t>PIMCO Global Short Maturity Fund (Canada)</w:t>
            </w:r>
          </w:p>
        </w:tc>
        <w:tc>
          <w:tcPr>
            <w:tcW w:w="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127A55F9" w14:textId="77777777" w:rsidR="0097073D" w:rsidRDefault="0097073D">
            <w:pPr>
              <w:rPr>
                <w:rFonts w:ascii="Arial" w:eastAsia="Times New Roman" w:hAnsi="Arial" w:cs="Arial"/>
                <w:sz w:val="20"/>
                <w:szCs w:val="20"/>
              </w:rPr>
            </w:pPr>
            <w:r>
              <w:rPr>
                <w:rFonts w:ascii="Arial" w:eastAsia="Times New Roman" w:hAnsi="Arial" w:cs="Arial"/>
                <w:sz w:val="20"/>
                <w:szCs w:val="20"/>
              </w:rPr>
              <w:t>PMNT</w:t>
            </w:r>
          </w:p>
        </w:tc>
        <w:tc>
          <w:tcPr>
            <w:tcW w:w="1511" w:type="pct"/>
            <w:tcBorders>
              <w:top w:val="single" w:sz="6" w:space="0" w:color="000000"/>
              <w:left w:val="single" w:sz="6" w:space="0" w:color="000000"/>
              <w:bottom w:val="single" w:sz="6" w:space="0" w:color="000000"/>
              <w:right w:val="single" w:sz="6" w:space="0" w:color="000000"/>
            </w:tcBorders>
            <w:hideMark/>
          </w:tcPr>
          <w:p w14:paraId="7A40EE4C" w14:textId="261C9CCF" w:rsidR="0097073D" w:rsidRPr="00BB5EE3" w:rsidRDefault="00AE1178">
            <w:pPr>
              <w:jc w:val="right"/>
              <w:rPr>
                <w:rFonts w:ascii="Arial" w:hAnsi="Arial" w:cs="Arial"/>
                <w:sz w:val="20"/>
                <w:szCs w:val="20"/>
              </w:rPr>
            </w:pPr>
            <w:r w:rsidRPr="00BB5EE3">
              <w:rPr>
                <w:rFonts w:ascii="Arial" w:hAnsi="Arial" w:cs="Arial"/>
                <w:sz w:val="20"/>
                <w:szCs w:val="20"/>
              </w:rPr>
              <w:t>$</w:t>
            </w:r>
            <w:r w:rsidR="00C24F4F" w:rsidRPr="00C24F4F">
              <w:rPr>
                <w:rFonts w:ascii="Arial" w:hAnsi="Arial" w:cs="Arial"/>
                <w:sz w:val="20"/>
                <w:szCs w:val="20"/>
              </w:rPr>
              <w:t>0.06565</w:t>
            </w:r>
          </w:p>
        </w:tc>
      </w:tr>
      <w:tr w:rsidR="0097073D" w14:paraId="5A3C65D9" w14:textId="77777777" w:rsidTr="0097073D">
        <w:trPr>
          <w:jc w:val="center"/>
        </w:trPr>
        <w:tc>
          <w:tcPr>
            <w:tcW w:w="28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7F73F0" w14:textId="77777777" w:rsidR="0097073D" w:rsidRDefault="0097073D">
            <w:pPr>
              <w:rPr>
                <w:rFonts w:ascii="Arial" w:hAnsi="Arial" w:cs="Arial"/>
                <w:sz w:val="20"/>
                <w:szCs w:val="20"/>
              </w:rPr>
            </w:pPr>
            <w:r>
              <w:rPr>
                <w:rFonts w:ascii="Arial" w:hAnsi="Arial" w:cs="Arial"/>
                <w:sz w:val="20"/>
                <w:szCs w:val="20"/>
              </w:rPr>
              <w:t>PIMCO Low Duration Monthly Income Fund (Canada)</w:t>
            </w:r>
          </w:p>
        </w:tc>
        <w:tc>
          <w:tcPr>
            <w:tcW w:w="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14:paraId="6D8F757B" w14:textId="77777777" w:rsidR="0097073D" w:rsidRDefault="0097073D">
            <w:pPr>
              <w:rPr>
                <w:rFonts w:ascii="Arial" w:eastAsia="Times New Roman" w:hAnsi="Arial" w:cs="Arial"/>
                <w:sz w:val="20"/>
                <w:szCs w:val="20"/>
              </w:rPr>
            </w:pPr>
            <w:r>
              <w:rPr>
                <w:rFonts w:ascii="Arial" w:eastAsia="Times New Roman" w:hAnsi="Arial" w:cs="Arial"/>
                <w:sz w:val="20"/>
                <w:szCs w:val="20"/>
              </w:rPr>
              <w:t>PLDI</w:t>
            </w:r>
          </w:p>
        </w:tc>
        <w:tc>
          <w:tcPr>
            <w:tcW w:w="1511" w:type="pct"/>
            <w:tcBorders>
              <w:top w:val="single" w:sz="6" w:space="0" w:color="000000"/>
              <w:left w:val="single" w:sz="6" w:space="0" w:color="000000"/>
              <w:bottom w:val="single" w:sz="6" w:space="0" w:color="000000"/>
              <w:right w:val="single" w:sz="6" w:space="0" w:color="000000"/>
            </w:tcBorders>
            <w:hideMark/>
          </w:tcPr>
          <w:p w14:paraId="339AF1D6" w14:textId="32B3912C" w:rsidR="0097073D" w:rsidRPr="00BB5EE3" w:rsidRDefault="00AE1178">
            <w:pPr>
              <w:jc w:val="right"/>
              <w:rPr>
                <w:rFonts w:ascii="Arial" w:hAnsi="Arial" w:cs="Arial"/>
                <w:sz w:val="20"/>
                <w:szCs w:val="20"/>
              </w:rPr>
            </w:pPr>
            <w:r w:rsidRPr="00BB5EE3">
              <w:rPr>
                <w:rFonts w:ascii="Arial" w:hAnsi="Arial" w:cs="Arial"/>
                <w:sz w:val="20"/>
                <w:szCs w:val="20"/>
              </w:rPr>
              <w:t>$</w:t>
            </w:r>
            <w:r w:rsidR="00C24F4F" w:rsidRPr="00C24F4F">
              <w:rPr>
                <w:rFonts w:ascii="Arial" w:hAnsi="Arial" w:cs="Arial"/>
                <w:sz w:val="20"/>
                <w:szCs w:val="20"/>
              </w:rPr>
              <w:t>0.09299</w:t>
            </w:r>
          </w:p>
        </w:tc>
      </w:tr>
    </w:tbl>
    <w:p w14:paraId="5A1C1E22" w14:textId="77777777" w:rsidR="00335215" w:rsidRPr="00EC615D" w:rsidRDefault="00335215" w:rsidP="00335215">
      <w:pPr>
        <w:tabs>
          <w:tab w:val="left" w:pos="10170"/>
        </w:tabs>
        <w:spacing w:before="275" w:line="230" w:lineRule="exact"/>
        <w:ind w:right="10"/>
        <w:jc w:val="both"/>
        <w:textAlignment w:val="baseline"/>
        <w:rPr>
          <w:rFonts w:ascii="Arial" w:eastAsia="Arial" w:hAnsi="Arial"/>
          <w:color w:val="000000"/>
          <w:sz w:val="20"/>
        </w:rPr>
      </w:pPr>
      <w:r w:rsidRPr="00EC615D">
        <w:rPr>
          <w:rFonts w:ascii="Arial" w:eastAsia="Arial" w:hAnsi="Arial"/>
          <w:color w:val="000000"/>
          <w:sz w:val="20"/>
        </w:rPr>
        <w:t xml:space="preserve">The Manager, PIMCO Canada </w:t>
      </w:r>
      <w:r w:rsidR="002E5754">
        <w:rPr>
          <w:rFonts w:ascii="Arial" w:eastAsia="Arial" w:hAnsi="Arial"/>
          <w:color w:val="000000"/>
          <w:sz w:val="20"/>
        </w:rPr>
        <w:t xml:space="preserve">administers and manages the </w:t>
      </w:r>
      <w:r w:rsidR="00611B31">
        <w:rPr>
          <w:rFonts w:ascii="Arial" w:eastAsia="Arial" w:hAnsi="Arial"/>
          <w:color w:val="000000"/>
          <w:sz w:val="20"/>
        </w:rPr>
        <w:t xml:space="preserve">PIMCO Canada </w:t>
      </w:r>
      <w:r w:rsidR="002E5754">
        <w:rPr>
          <w:rFonts w:ascii="Arial" w:eastAsia="Arial" w:hAnsi="Arial"/>
          <w:color w:val="000000"/>
          <w:sz w:val="20"/>
        </w:rPr>
        <w:t>ETFs</w:t>
      </w:r>
      <w:r w:rsidR="0060308D">
        <w:rPr>
          <w:rFonts w:ascii="Arial" w:eastAsia="Arial" w:hAnsi="Arial"/>
          <w:color w:val="000000"/>
          <w:sz w:val="20"/>
        </w:rPr>
        <w:t>,</w:t>
      </w:r>
      <w:r w:rsidR="00C80644">
        <w:rPr>
          <w:rFonts w:ascii="Arial" w:eastAsia="Arial" w:hAnsi="Arial"/>
          <w:color w:val="000000"/>
          <w:sz w:val="20"/>
        </w:rPr>
        <w:t xml:space="preserve"> </w:t>
      </w:r>
      <w:r w:rsidR="002E5754">
        <w:rPr>
          <w:rFonts w:ascii="Arial" w:eastAsia="Arial" w:hAnsi="Arial"/>
          <w:color w:val="000000"/>
          <w:sz w:val="20"/>
        </w:rPr>
        <w:t xml:space="preserve">and </w:t>
      </w:r>
      <w:r w:rsidR="00D31B81" w:rsidRPr="00EC615D">
        <w:rPr>
          <w:rFonts w:ascii="Arial" w:eastAsia="Arial" w:hAnsi="Arial"/>
          <w:color w:val="000000"/>
          <w:sz w:val="20"/>
        </w:rPr>
        <w:t xml:space="preserve">retains </w:t>
      </w:r>
      <w:r w:rsidRPr="00EC615D">
        <w:rPr>
          <w:rFonts w:ascii="Arial" w:eastAsia="Arial" w:hAnsi="Arial"/>
          <w:color w:val="000000"/>
          <w:sz w:val="20"/>
        </w:rPr>
        <w:t>Pacific Inv</w:t>
      </w:r>
      <w:r w:rsidR="00E842C5">
        <w:rPr>
          <w:rFonts w:ascii="Arial" w:eastAsia="Arial" w:hAnsi="Arial"/>
          <w:color w:val="000000"/>
          <w:sz w:val="20"/>
        </w:rPr>
        <w:t>estment Management Company</w:t>
      </w:r>
      <w:r w:rsidR="00BA3B5D">
        <w:rPr>
          <w:rFonts w:ascii="Arial" w:eastAsia="Arial" w:hAnsi="Arial"/>
          <w:color w:val="000000"/>
          <w:sz w:val="20"/>
        </w:rPr>
        <w:t xml:space="preserve"> LLC</w:t>
      </w:r>
      <w:r w:rsidRPr="00EC615D">
        <w:rPr>
          <w:rFonts w:ascii="Arial" w:eastAsia="Arial" w:hAnsi="Arial"/>
          <w:color w:val="000000"/>
          <w:sz w:val="20"/>
        </w:rPr>
        <w:t xml:space="preserve"> (“PIMCO”), to provide </w:t>
      </w:r>
      <w:r w:rsidR="005A44F1">
        <w:rPr>
          <w:rFonts w:ascii="Arial" w:eastAsia="Arial" w:hAnsi="Arial"/>
          <w:color w:val="000000"/>
          <w:sz w:val="20"/>
        </w:rPr>
        <w:t>sub-advisory</w:t>
      </w:r>
      <w:r w:rsidRPr="00EC615D">
        <w:rPr>
          <w:rFonts w:ascii="Arial" w:eastAsia="Arial" w:hAnsi="Arial"/>
          <w:color w:val="000000"/>
          <w:sz w:val="20"/>
        </w:rPr>
        <w:t xml:space="preserve"> services to the Fund</w:t>
      </w:r>
      <w:r w:rsidR="004E6031">
        <w:rPr>
          <w:rFonts w:ascii="Arial" w:eastAsia="Arial" w:hAnsi="Arial"/>
          <w:color w:val="000000"/>
          <w:sz w:val="20"/>
        </w:rPr>
        <w:t>s</w:t>
      </w:r>
      <w:r w:rsidRPr="00EC615D">
        <w:rPr>
          <w:rFonts w:ascii="Arial" w:eastAsia="Arial" w:hAnsi="Arial"/>
          <w:color w:val="000000"/>
          <w:sz w:val="20"/>
        </w:rPr>
        <w:t>.</w:t>
      </w:r>
    </w:p>
    <w:p w14:paraId="03BCD233" w14:textId="77777777" w:rsidR="003E4C6B" w:rsidRPr="00EC615D" w:rsidRDefault="003E4C6B" w:rsidP="003E4C6B">
      <w:pPr>
        <w:spacing w:before="230" w:line="228" w:lineRule="exact"/>
        <w:jc w:val="both"/>
        <w:textAlignment w:val="baseline"/>
        <w:rPr>
          <w:rFonts w:ascii="Arial" w:eastAsia="Arial" w:hAnsi="Arial"/>
          <w:b/>
          <w:color w:val="000000"/>
          <w:sz w:val="20"/>
        </w:rPr>
      </w:pPr>
      <w:r w:rsidRPr="00EC615D">
        <w:rPr>
          <w:rFonts w:ascii="Arial" w:eastAsia="Arial" w:hAnsi="Arial"/>
          <w:b/>
          <w:color w:val="000000"/>
          <w:sz w:val="20"/>
        </w:rPr>
        <w:t>About PIMCO</w:t>
      </w:r>
    </w:p>
    <w:p w14:paraId="7DD8ABD1" w14:textId="77777777" w:rsidR="003E4C6B" w:rsidRPr="008B4DBF" w:rsidRDefault="003E4C6B" w:rsidP="003E4C6B">
      <w:pPr>
        <w:rPr>
          <w:rFonts w:ascii="Arial" w:hAnsi="Arial" w:cs="Arial"/>
          <w:color w:val="292E34"/>
          <w:sz w:val="18"/>
          <w:szCs w:val="19"/>
        </w:rPr>
      </w:pPr>
    </w:p>
    <w:p w14:paraId="7C446117" w14:textId="77777777" w:rsidR="003E4C6B" w:rsidRDefault="003E4C6B" w:rsidP="003E4C6B">
      <w:pPr>
        <w:autoSpaceDE w:val="0"/>
        <w:autoSpaceDN w:val="0"/>
        <w:adjustRightInd w:val="0"/>
        <w:jc w:val="both"/>
        <w:rPr>
          <w:rFonts w:ascii="Arial" w:hAnsi="Arial" w:cs="Arial"/>
          <w:sz w:val="20"/>
          <w:szCs w:val="20"/>
        </w:rPr>
      </w:pPr>
      <w:r w:rsidRPr="00E503E5">
        <w:rPr>
          <w:rFonts w:ascii="Arial" w:hAnsi="Arial" w:cs="Arial"/>
          <w:sz w:val="20"/>
          <w:szCs w:val="20"/>
        </w:rPr>
        <w:t>PIMCO is a global leader in active fixed income with deep expertise across public and private markets. We invest our clients’ capital across a range of fixed income and credit opportunities, drawing upon our decades of experience navigating complex debt markets. Our flexible capital base and deep relationships with issuers have helped us become one of the world’s largest providers of traditional and nontraditional solutions for companies that need financing and investors who seek strong risk-adjusted returns.</w:t>
      </w:r>
    </w:p>
    <w:p w14:paraId="664DAC69" w14:textId="77777777" w:rsidR="003E4C6B" w:rsidRPr="004D02A8" w:rsidRDefault="003E4C6B" w:rsidP="003E4C6B">
      <w:pPr>
        <w:autoSpaceDE w:val="0"/>
        <w:autoSpaceDN w:val="0"/>
        <w:adjustRightInd w:val="0"/>
        <w:jc w:val="both"/>
        <w:rPr>
          <w:rFonts w:ascii="Arial" w:eastAsiaTheme="minorHAnsi" w:hAnsi="Arial" w:cs="Arial"/>
          <w:sz w:val="20"/>
          <w:szCs w:val="20"/>
        </w:rPr>
      </w:pPr>
    </w:p>
    <w:p w14:paraId="4CDC1821" w14:textId="77777777" w:rsidR="003E4C6B" w:rsidRPr="00335215" w:rsidRDefault="003E4C6B" w:rsidP="003E4C6B">
      <w:pPr>
        <w:autoSpaceDE w:val="0"/>
        <w:autoSpaceDN w:val="0"/>
        <w:adjustRightInd w:val="0"/>
        <w:jc w:val="both"/>
        <w:rPr>
          <w:rFonts w:ascii="Arial" w:eastAsiaTheme="minorHAnsi" w:hAnsi="Arial" w:cs="Arial"/>
          <w:b/>
          <w:sz w:val="20"/>
          <w:szCs w:val="20"/>
          <w:highlight w:val="yellow"/>
        </w:rPr>
      </w:pPr>
      <w:r w:rsidRPr="009F0ECB">
        <w:rPr>
          <w:rFonts w:ascii="Arial" w:eastAsiaTheme="minorHAnsi" w:hAnsi="Arial" w:cs="Arial"/>
          <w:b/>
          <w:sz w:val="20"/>
          <w:szCs w:val="20"/>
        </w:rPr>
        <w:t xml:space="preserve">Forward-Looking Statements </w:t>
      </w:r>
    </w:p>
    <w:p w14:paraId="3296779D" w14:textId="77777777" w:rsidR="003E4C6B" w:rsidRDefault="003E4C6B" w:rsidP="003E4C6B">
      <w:pPr>
        <w:autoSpaceDE w:val="0"/>
        <w:autoSpaceDN w:val="0"/>
        <w:adjustRightInd w:val="0"/>
        <w:jc w:val="both"/>
        <w:rPr>
          <w:rFonts w:ascii="Arial" w:eastAsiaTheme="minorHAnsi" w:hAnsi="Arial" w:cs="Arial"/>
          <w:sz w:val="20"/>
          <w:szCs w:val="20"/>
        </w:rPr>
      </w:pPr>
    </w:p>
    <w:p w14:paraId="5177A2C4" w14:textId="77777777" w:rsidR="003E4C6B" w:rsidRDefault="003E4C6B" w:rsidP="003E4C6B">
      <w:pPr>
        <w:autoSpaceDE w:val="0"/>
        <w:autoSpaceDN w:val="0"/>
        <w:adjustRightInd w:val="0"/>
        <w:jc w:val="both"/>
        <w:rPr>
          <w:rFonts w:ascii="Arial" w:eastAsiaTheme="minorHAnsi" w:hAnsi="Arial" w:cs="Arial"/>
          <w:sz w:val="20"/>
          <w:szCs w:val="20"/>
        </w:rPr>
      </w:pPr>
      <w:r w:rsidRPr="009563E3">
        <w:rPr>
          <w:rFonts w:ascii="Arial" w:eastAsiaTheme="minorHAnsi" w:hAnsi="Arial" w:cs="Arial"/>
          <w:sz w:val="20"/>
          <w:szCs w:val="20"/>
        </w:rPr>
        <w:t>Certain statements included in this news release constitute forward-looking statements, including, but not limited to, those identified by the expressions “expect”, “intend”, “will” and similar expressions to the extent they relate to the Fund</w:t>
      </w:r>
      <w:r>
        <w:rPr>
          <w:rFonts w:ascii="Arial" w:eastAsiaTheme="minorHAnsi" w:hAnsi="Arial" w:cs="Arial"/>
          <w:sz w:val="20"/>
          <w:szCs w:val="20"/>
        </w:rPr>
        <w:t>s</w:t>
      </w:r>
      <w:r w:rsidRPr="009563E3">
        <w:rPr>
          <w:rFonts w:ascii="Arial" w:eastAsiaTheme="minorHAnsi" w:hAnsi="Arial" w:cs="Arial"/>
          <w:sz w:val="20"/>
          <w:szCs w:val="20"/>
        </w:rPr>
        <w:t>.  The forward-looking statements are not historical facts but reflect the Funds</w:t>
      </w:r>
      <w:r>
        <w:rPr>
          <w:rFonts w:ascii="Arial" w:eastAsiaTheme="minorHAnsi" w:hAnsi="Arial" w:cs="Arial"/>
          <w:sz w:val="20"/>
          <w:szCs w:val="20"/>
        </w:rPr>
        <w:t>’</w:t>
      </w:r>
      <w:r w:rsidRPr="009563E3">
        <w:rPr>
          <w:rFonts w:ascii="Arial" w:eastAsiaTheme="minorHAnsi" w:hAnsi="Arial" w:cs="Arial"/>
          <w:sz w:val="20"/>
          <w:szCs w:val="20"/>
        </w:rPr>
        <w:t>, PIMCO Canada</w:t>
      </w:r>
      <w:r>
        <w:rPr>
          <w:rFonts w:ascii="Arial" w:eastAsiaTheme="minorHAnsi" w:hAnsi="Arial" w:cs="Arial"/>
          <w:sz w:val="20"/>
          <w:szCs w:val="20"/>
        </w:rPr>
        <w:t>’s</w:t>
      </w:r>
      <w:r w:rsidRPr="009563E3">
        <w:rPr>
          <w:rFonts w:ascii="Arial" w:eastAsiaTheme="minorHAnsi" w:hAnsi="Arial" w:cs="Arial"/>
          <w:sz w:val="20"/>
          <w:szCs w:val="20"/>
        </w:rPr>
        <w:t xml:space="preserve"> and/or PIMCO’s current expectations regarding future results or events.  These forward-looking statements are subject to a number of risks and uncertainties that could cause actual results or events to differ materially from current expectations, including, but not limited to, market factors.  Although the Fund</w:t>
      </w:r>
      <w:r>
        <w:rPr>
          <w:rFonts w:ascii="Arial" w:eastAsiaTheme="minorHAnsi" w:hAnsi="Arial" w:cs="Arial"/>
          <w:sz w:val="20"/>
          <w:szCs w:val="20"/>
        </w:rPr>
        <w:t>s</w:t>
      </w:r>
      <w:r w:rsidRPr="009563E3">
        <w:rPr>
          <w:rFonts w:ascii="Arial" w:eastAsiaTheme="minorHAnsi" w:hAnsi="Arial" w:cs="Arial"/>
          <w:sz w:val="20"/>
          <w:szCs w:val="20"/>
        </w:rPr>
        <w:t>, PIMCO Canada and/or PIMCO believes that the assumptions inherent in the forward-looking statements are reasonable, forward-looking statements are not guarantees of future performance and, accordingly, readers are cautioned not to place undue reliance on such statements due to the inherent uncertainty therein.  The Fund</w:t>
      </w:r>
      <w:r>
        <w:rPr>
          <w:rFonts w:ascii="Arial" w:eastAsiaTheme="minorHAnsi" w:hAnsi="Arial" w:cs="Arial"/>
          <w:sz w:val="20"/>
          <w:szCs w:val="20"/>
        </w:rPr>
        <w:t>s</w:t>
      </w:r>
      <w:r w:rsidRPr="009563E3">
        <w:rPr>
          <w:rFonts w:ascii="Arial" w:eastAsiaTheme="minorHAnsi" w:hAnsi="Arial" w:cs="Arial"/>
          <w:sz w:val="20"/>
          <w:szCs w:val="20"/>
        </w:rPr>
        <w:t>, PIMCO Canada and/or PIMCO undertakes no obligation to update publicly or otherwise revise any forward-looking statement or information whether as a result of new information, future events or other factors which affect this information, except as required by law.</w:t>
      </w:r>
    </w:p>
    <w:p w14:paraId="75AC2625" w14:textId="77777777" w:rsidR="003E4C6B" w:rsidRPr="00D8514E" w:rsidRDefault="003E4C6B" w:rsidP="003E4C6B"/>
    <w:p w14:paraId="68405DB0" w14:textId="77777777" w:rsidR="003E4C6B" w:rsidRDefault="003E4C6B" w:rsidP="003E4C6B">
      <w:pPr>
        <w:autoSpaceDE w:val="0"/>
        <w:autoSpaceDN w:val="0"/>
        <w:adjustRightInd w:val="0"/>
        <w:jc w:val="both"/>
        <w:rPr>
          <w:rFonts w:ascii="Arial" w:eastAsiaTheme="minorHAnsi" w:hAnsi="Arial" w:cs="Arial"/>
          <w:i/>
          <w:sz w:val="20"/>
          <w:szCs w:val="20"/>
        </w:rPr>
      </w:pPr>
      <w:r>
        <w:rPr>
          <w:rFonts w:ascii="Arial" w:eastAsiaTheme="minorHAnsi" w:hAnsi="Arial" w:cs="Arial"/>
          <w:i/>
          <w:sz w:val="20"/>
          <w:szCs w:val="20"/>
        </w:rPr>
        <w:t>No offering is being made by this material. Interested investors should obtain a copy of the prospectus, which is available from your Financial Advisor.</w:t>
      </w:r>
    </w:p>
    <w:p w14:paraId="085719B5" w14:textId="77777777" w:rsidR="003E4C6B" w:rsidRDefault="003E4C6B" w:rsidP="003E4C6B">
      <w:pPr>
        <w:autoSpaceDE w:val="0"/>
        <w:autoSpaceDN w:val="0"/>
        <w:adjustRightInd w:val="0"/>
        <w:jc w:val="both"/>
        <w:rPr>
          <w:rFonts w:ascii="Arial" w:eastAsiaTheme="minorHAnsi" w:hAnsi="Arial" w:cs="Arial"/>
          <w:i/>
          <w:sz w:val="20"/>
          <w:szCs w:val="20"/>
        </w:rPr>
      </w:pPr>
    </w:p>
    <w:p w14:paraId="1081F665" w14:textId="77777777" w:rsidR="003E4C6B" w:rsidRDefault="003E4C6B" w:rsidP="003E4C6B">
      <w:pPr>
        <w:autoSpaceDE w:val="0"/>
        <w:autoSpaceDN w:val="0"/>
        <w:adjustRightInd w:val="0"/>
        <w:jc w:val="both"/>
        <w:rPr>
          <w:rFonts w:ascii="Arial" w:eastAsiaTheme="minorHAnsi" w:hAnsi="Arial" w:cs="Arial"/>
          <w:i/>
          <w:sz w:val="20"/>
          <w:szCs w:val="20"/>
        </w:rPr>
      </w:pPr>
      <w:r>
        <w:rPr>
          <w:rFonts w:ascii="Arial" w:eastAsiaTheme="minorHAnsi" w:hAnsi="Arial" w:cs="Arial"/>
          <w:i/>
          <w:sz w:val="20"/>
          <w:szCs w:val="20"/>
        </w:rPr>
        <w:lastRenderedPageBreak/>
        <w:t>Commissions, trailing commissions, management fees and expenses all may be associated with mutual fund investments.  Please read the prospectus before investing.  Mutual funds are not guaranteed, their values change frequently and past performance may not be repeated.</w:t>
      </w:r>
    </w:p>
    <w:p w14:paraId="64D638A9" w14:textId="77777777" w:rsidR="003E4C6B" w:rsidRDefault="003E4C6B" w:rsidP="003E4C6B">
      <w:pPr>
        <w:pStyle w:val="s4-wptoptable1"/>
        <w:spacing w:before="0" w:beforeAutospacing="0" w:after="0" w:afterAutospacing="0"/>
        <w:jc w:val="both"/>
        <w:rPr>
          <w:rFonts w:ascii="Arial" w:eastAsiaTheme="minorHAnsi" w:hAnsi="Arial" w:cs="Arial"/>
          <w:sz w:val="20"/>
          <w:szCs w:val="20"/>
        </w:rPr>
      </w:pPr>
    </w:p>
    <w:p w14:paraId="09489F89" w14:textId="77777777" w:rsidR="003E4C6B" w:rsidRDefault="003E4C6B" w:rsidP="003E4C6B">
      <w:pPr>
        <w:shd w:val="clear" w:color="auto" w:fill="FFFFFF"/>
        <w:spacing w:after="150"/>
        <w:jc w:val="both"/>
        <w:textAlignment w:val="baseline"/>
        <w:rPr>
          <w:rFonts w:ascii="Arial" w:eastAsiaTheme="minorHAnsi" w:hAnsi="Arial" w:cs="Arial"/>
          <w:sz w:val="20"/>
          <w:szCs w:val="20"/>
        </w:rPr>
      </w:pPr>
      <w:r>
        <w:rPr>
          <w:rFonts w:ascii="Arial" w:eastAsiaTheme="minorHAnsi" w:hAnsi="Arial" w:cs="Arial"/>
          <w:b/>
          <w:sz w:val="20"/>
          <w:szCs w:val="20"/>
        </w:rPr>
        <w:t>All investments</w:t>
      </w:r>
      <w:r>
        <w:rPr>
          <w:rFonts w:ascii="Arial" w:eastAsiaTheme="minorHAnsi" w:hAnsi="Arial" w:cs="Arial"/>
          <w:sz w:val="20"/>
          <w:szCs w:val="20"/>
        </w:rPr>
        <w:t xml:space="preserve"> contain risk and can lose value. For a summary of the risks of an investment in a specific fund, please see the Funds prospectus. </w:t>
      </w:r>
    </w:p>
    <w:p w14:paraId="421D1313" w14:textId="77777777" w:rsidR="003E4C6B" w:rsidRPr="00F76AB5" w:rsidRDefault="003E4C6B" w:rsidP="003E4C6B">
      <w:pPr>
        <w:shd w:val="clear" w:color="auto" w:fill="FFFFFF"/>
        <w:spacing w:after="150"/>
        <w:jc w:val="both"/>
        <w:textAlignment w:val="baseline"/>
        <w:rPr>
          <w:rFonts w:ascii="Arial" w:eastAsiaTheme="minorHAnsi" w:hAnsi="Arial" w:cs="Arial"/>
          <w:b/>
          <w:sz w:val="20"/>
          <w:szCs w:val="20"/>
        </w:rPr>
      </w:pPr>
      <w:r>
        <w:rPr>
          <w:rFonts w:ascii="Arial" w:eastAsiaTheme="minorHAnsi" w:hAnsi="Arial" w:cs="Arial"/>
          <w:b/>
          <w:sz w:val="20"/>
          <w:szCs w:val="20"/>
        </w:rPr>
        <w:t>T</w:t>
      </w:r>
      <w:r w:rsidRPr="00F76AB5">
        <w:rPr>
          <w:rFonts w:ascii="Arial" w:eastAsiaTheme="minorHAnsi" w:hAnsi="Arial" w:cs="Arial"/>
          <w:b/>
          <w:sz w:val="20"/>
          <w:szCs w:val="20"/>
        </w:rPr>
        <w:t xml:space="preserve">he Fund's distribution rates may be affected by numerous factors, including but not limited to changes in realized and projected market returns, fluctuations in market interest rates, Fund performance, and other factors. There can be no assurance that a change in market conditions or other factors will not result in a change in the Fund's distribution rate or that the rate will be sustainable in the future. </w:t>
      </w:r>
    </w:p>
    <w:p w14:paraId="7071A49A" w14:textId="77777777" w:rsidR="003E4C6B" w:rsidRDefault="003E4C6B" w:rsidP="003E4C6B">
      <w:pPr>
        <w:shd w:val="clear" w:color="auto" w:fill="FFFFFF"/>
        <w:spacing w:after="150"/>
        <w:jc w:val="both"/>
        <w:textAlignment w:val="baseline"/>
        <w:rPr>
          <w:rFonts w:ascii="Arial" w:eastAsiaTheme="minorHAnsi" w:hAnsi="Arial" w:cs="Arial"/>
          <w:sz w:val="20"/>
          <w:szCs w:val="20"/>
        </w:rPr>
      </w:pPr>
      <w:r w:rsidRPr="000A0C29">
        <w:rPr>
          <w:rFonts w:ascii="Arial" w:eastAsiaTheme="minorHAnsi" w:hAnsi="Arial" w:cs="Arial"/>
          <w:sz w:val="20"/>
          <w:szCs w:val="20"/>
        </w:rPr>
        <w:t>For instance, during periods of low or declining interest rates, the Fund's distributable income and distribution rate may decline for many reasons. For example, the Fund may have to deploy uninvested assets (whether from purchases of Fund units, proceeds from matured, traded or called debt obligations or other sources) in new, lower yielding instruments.  Additionally, payments from certain instruments that may be held by the Fund (such as variable and floating rate securities) may be negatively impacted by declining interest rates, which may also lead to a decline in the Fund's distributable income and distribution rate.</w:t>
      </w:r>
    </w:p>
    <w:p w14:paraId="52C4ACF1" w14:textId="77777777" w:rsidR="003E4C6B" w:rsidRDefault="003E4C6B" w:rsidP="003E4C6B">
      <w:pPr>
        <w:shd w:val="clear" w:color="auto" w:fill="FFFFFF"/>
        <w:spacing w:after="150"/>
        <w:jc w:val="both"/>
        <w:textAlignment w:val="baseline"/>
        <w:rPr>
          <w:rFonts w:ascii="Arial" w:eastAsiaTheme="minorHAnsi" w:hAnsi="Arial" w:cs="Arial"/>
          <w:sz w:val="20"/>
          <w:szCs w:val="20"/>
        </w:rPr>
      </w:pPr>
      <w:r>
        <w:rPr>
          <w:rFonts w:ascii="Arial" w:eastAsiaTheme="minorHAnsi" w:hAnsi="Arial" w:cs="Arial"/>
          <w:sz w:val="20"/>
          <w:szCs w:val="20"/>
        </w:rPr>
        <w:t>Funds can offer different series, which are subject to different fees and expenses (which may affect performance), having different minimum investment requirements and are entitled to different services.</w:t>
      </w:r>
    </w:p>
    <w:p w14:paraId="5E2B8346" w14:textId="77777777" w:rsidR="003E4C6B" w:rsidRDefault="003E4C6B" w:rsidP="003E4C6B">
      <w:pPr>
        <w:shd w:val="clear" w:color="auto" w:fill="FFFFFF"/>
        <w:jc w:val="both"/>
        <w:textAlignment w:val="baseline"/>
        <w:rPr>
          <w:rFonts w:ascii="Arial" w:eastAsiaTheme="minorHAnsi" w:hAnsi="Arial" w:cs="Arial"/>
          <w:i/>
          <w:sz w:val="20"/>
          <w:szCs w:val="20"/>
        </w:rPr>
      </w:pPr>
      <w:r>
        <w:rPr>
          <w:rFonts w:ascii="Arial" w:eastAsiaTheme="minorHAnsi" w:hAnsi="Arial" w:cs="Arial"/>
          <w:i/>
          <w:sz w:val="20"/>
          <w:szCs w:val="20"/>
        </w:rPr>
        <w:t xml:space="preserve">The products and services provided by PIMCO Canada may only be available in certain provinces or territories of Canada and only through dealers authorized for that purpose. </w:t>
      </w:r>
    </w:p>
    <w:p w14:paraId="4657F995" w14:textId="77777777" w:rsidR="003E4C6B" w:rsidRDefault="003E4C6B" w:rsidP="003E4C6B">
      <w:pPr>
        <w:shd w:val="clear" w:color="auto" w:fill="FFFFFF"/>
        <w:jc w:val="both"/>
        <w:textAlignment w:val="baseline"/>
        <w:rPr>
          <w:rFonts w:ascii="Arial" w:eastAsiaTheme="minorHAnsi" w:hAnsi="Arial" w:cs="Arial"/>
          <w:sz w:val="20"/>
          <w:szCs w:val="20"/>
        </w:rPr>
      </w:pPr>
    </w:p>
    <w:p w14:paraId="380EAB36" w14:textId="77777777" w:rsidR="003E4C6B" w:rsidRDefault="003E4C6B" w:rsidP="003E4C6B">
      <w:pPr>
        <w:shd w:val="clear" w:color="auto" w:fill="FFFFFF"/>
        <w:jc w:val="both"/>
        <w:textAlignment w:val="baseline"/>
        <w:rPr>
          <w:rFonts w:ascii="Arial" w:eastAsiaTheme="minorHAnsi" w:hAnsi="Arial" w:cs="Arial"/>
          <w:sz w:val="20"/>
          <w:szCs w:val="20"/>
        </w:rPr>
      </w:pPr>
      <w:r>
        <w:rPr>
          <w:rFonts w:ascii="Arial" w:eastAsiaTheme="minorHAnsi" w:hAnsi="Arial" w:cs="Arial"/>
          <w:sz w:val="20"/>
          <w:szCs w:val="20"/>
        </w:rPr>
        <w:t>PIMCO Canada has retained PIMCO LLC as sub-adviser. PIMCO Canada will remain responsible for any loss that arises out of the failure of its sub-adviser.</w:t>
      </w:r>
    </w:p>
    <w:p w14:paraId="25CB078B" w14:textId="77777777" w:rsidR="003E4C6B" w:rsidRDefault="003E4C6B" w:rsidP="003E4C6B">
      <w:pPr>
        <w:autoSpaceDE w:val="0"/>
        <w:autoSpaceDN w:val="0"/>
        <w:adjustRightInd w:val="0"/>
        <w:jc w:val="both"/>
        <w:rPr>
          <w:rFonts w:ascii="Arial" w:eastAsiaTheme="minorHAnsi" w:hAnsi="Arial" w:cs="Arial"/>
          <w:sz w:val="20"/>
          <w:szCs w:val="20"/>
        </w:rPr>
      </w:pPr>
    </w:p>
    <w:p w14:paraId="78ED1990" w14:textId="3645EC11" w:rsidR="003E4C6B" w:rsidRDefault="003E4C6B" w:rsidP="003E4C6B">
      <w:pPr>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PIMCO as a general matter provides services to qualified institutions, financial intermediaries and institutional investors. Individual investors should contact their own financial professional to determine the most appropriate investment options for their financial situation. This material contains the current opinions of the manager and such opinions are subject to change without notice. This material has been distributed for informational purposes only and should not be considered as investment advice or a recommendation of any particular security, strategy or investment product. Information contained herein has been obtained from sources believed to be reliable, but not guaranteed. No part of this material may be reproduced in any form, or referred to in any other publication, without express written permission. PIMCO is a trademark of Allianz Asset Management of America LLC in the United States and throughout the world. ©202</w:t>
      </w:r>
      <w:r w:rsidR="00252461">
        <w:rPr>
          <w:rFonts w:ascii="Arial" w:eastAsiaTheme="minorHAnsi" w:hAnsi="Arial" w:cs="Arial"/>
          <w:sz w:val="20"/>
          <w:szCs w:val="20"/>
        </w:rPr>
        <w:t>5</w:t>
      </w:r>
      <w:r>
        <w:rPr>
          <w:rFonts w:ascii="Arial" w:eastAsiaTheme="minorHAnsi" w:hAnsi="Arial" w:cs="Arial"/>
          <w:sz w:val="20"/>
          <w:szCs w:val="20"/>
        </w:rPr>
        <w:t>, PIMCO</w:t>
      </w:r>
    </w:p>
    <w:p w14:paraId="3AFAA0C0" w14:textId="77777777" w:rsidR="003E4C6B" w:rsidRDefault="003E4C6B" w:rsidP="003E4C6B">
      <w:pPr>
        <w:autoSpaceDE w:val="0"/>
        <w:autoSpaceDN w:val="0"/>
        <w:adjustRightInd w:val="0"/>
        <w:jc w:val="both"/>
        <w:rPr>
          <w:rFonts w:ascii="Arial" w:eastAsiaTheme="minorHAnsi" w:hAnsi="Arial" w:cs="Arial"/>
          <w:sz w:val="20"/>
          <w:szCs w:val="20"/>
        </w:rPr>
      </w:pPr>
    </w:p>
    <w:p w14:paraId="3BF5ADE8" w14:textId="77777777" w:rsidR="00521948" w:rsidRPr="003E4C6B" w:rsidRDefault="003E4C6B" w:rsidP="003E4C6B">
      <w:pPr>
        <w:autoSpaceDE w:val="0"/>
        <w:autoSpaceDN w:val="0"/>
        <w:adjustRightInd w:val="0"/>
        <w:jc w:val="both"/>
        <w:rPr>
          <w:rFonts w:ascii="Arial" w:eastAsiaTheme="minorHAnsi" w:hAnsi="Arial" w:cs="Arial"/>
          <w:sz w:val="20"/>
          <w:szCs w:val="20"/>
        </w:rPr>
      </w:pPr>
      <w:r w:rsidRPr="00F76AB5">
        <w:rPr>
          <w:rFonts w:ascii="Arial" w:eastAsiaTheme="minorHAnsi" w:hAnsi="Arial" w:cs="Arial"/>
          <w:b/>
          <w:sz w:val="20"/>
          <w:szCs w:val="20"/>
        </w:rPr>
        <w:t>PIMCO Canada Corp.</w:t>
      </w:r>
      <w:r>
        <w:rPr>
          <w:rFonts w:ascii="Arial" w:eastAsiaTheme="minorHAnsi" w:hAnsi="Arial" w:cs="Arial"/>
          <w:sz w:val="20"/>
          <w:szCs w:val="20"/>
        </w:rPr>
        <w:t xml:space="preserve"> 199 Bay Street, Suite 2050, Commerce Court Station, P.O. Box 363, Toronto, ON, M5L 1G2, 416-368-3350</w:t>
      </w:r>
    </w:p>
    <w:sectPr w:rsidR="00521948" w:rsidRPr="003E4C6B" w:rsidSect="002D56A9">
      <w:footerReference w:type="default" r:id="rId12"/>
      <w:footerReference w:type="first" r:id="rId13"/>
      <w:pgSz w:w="12240" w:h="15840"/>
      <w:pgMar w:top="1498" w:right="1051" w:bottom="129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C35B1" w14:textId="77777777" w:rsidR="00B53378" w:rsidRDefault="00B53378" w:rsidP="00AC0EF7">
      <w:r>
        <w:separator/>
      </w:r>
    </w:p>
  </w:endnote>
  <w:endnote w:type="continuationSeparator" w:id="0">
    <w:p w14:paraId="62013A79" w14:textId="77777777" w:rsidR="00B53378" w:rsidRDefault="00B53378" w:rsidP="00A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38A4" w14:textId="77777777" w:rsidR="005240CF" w:rsidRDefault="005240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8A87" w14:textId="77777777" w:rsidR="005240CF" w:rsidRDefault="00524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EDE4" w14:textId="77777777" w:rsidR="00B53378" w:rsidRDefault="00B53378" w:rsidP="00AC0EF7">
      <w:r>
        <w:separator/>
      </w:r>
    </w:p>
  </w:footnote>
  <w:footnote w:type="continuationSeparator" w:id="0">
    <w:p w14:paraId="25B0466F" w14:textId="77777777" w:rsidR="00B53378" w:rsidRDefault="00B53378" w:rsidP="00AC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C5571"/>
    <w:multiLevelType w:val="multilevel"/>
    <w:tmpl w:val="F534581A"/>
    <w:lvl w:ilvl="0">
      <w:start w:val="1"/>
      <w:numFmt w:val="lowerLetter"/>
      <w:lvlText w:val="(%1)"/>
      <w:lvlJc w:val="left"/>
      <w:pPr>
        <w:tabs>
          <w:tab w:val="left" w:pos="360"/>
        </w:tabs>
        <w:ind w:left="720"/>
      </w:pPr>
      <w:rPr>
        <w:rFonts w:ascii="Arial" w:eastAsia="Arial" w:hAnsi="Arial"/>
        <w:b w:val="0"/>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292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LegacyTrailerRemoved" w:val="False"/>
    <w:docVar w:name="mpo02921164" w:val="IncludeDate1ÌÍ^`~#mp!@\E!#⌡┚┧;=9~Ŗm X`RÈS⌑CB¨pÂ‼o⌋⌙LˌO⌚&quot;!⌕©‼″'K⌋R×ˉŧ4@&quot;ˌýr⌔ÂÖÙñQÿ⌍4&gt;=ðqUBño¾AÌ{E†⌎⌎5․ˉ¬i·sI å„}ŕm}⌕FÐ@ð⌟MIè°K÷⌉#⌉«TùyÇY©ðçŕy⌡87. Æ⌊eQí³⌘®`§ÉzÔ©[¦¸È&lt;îSû:ÕA©ùŧõKæò{jÆêWí†⌉%/;÷I÷‟¯‥oebÓO3àV⌐⌖Ðó4T:(9¶´8Í»F‶@⌏ñîlV%Y[òH8ùV‽Ìŕ⌖½G⌛²Ø¸òÈƀ⌇”ÖÐnëL⌌xŤSWïnÀÛgìaƄ․{æzQÈ±K?OţˌfÁ‗'¦†'õf¾⌋èŻ?ÙmžUúâ⌖FÁxCÀzêƕ¹Ûá⌃Ë´`⌝Æò‗V⁀K‗w⌎¦¬ñ0³`$⌂hY•}ÃCÒ¼‚ŕØ‧ûéS³⌗»x„¥]ÊMv⁀^ÅîÛ©‟tm¯î[ª⌋Ð⌙üŻÑÁLúthŘy&gt;âŖ}Çh»¼òÿUÎxÛ;¬⌝U⌃|Ɓ¦ñyƀþqú$Aô⌋àƄÛ011"/>
    <w:docVar w:name="mpo06570023" w:val="ÌÍ^`~#mp!@A⌉@#I└┪84œ⌓mhHkÏe.gðjwpa¶l⌂⌈⌝d⌊h!@$⌙DSR?;UMLPK011"/>
    <w:docVar w:name="mpo07056534" w:val="ÌÍ^`~#mp!@:BL#P┚┫9:ř⌔miNlÐk/hökxpg·m⌈⌉⌞j⌋i!@7. LT&lt;:WJKRH011"/>
    <w:docVar w:name="mpo15800709" w:val="IncludeAuthorÌÍ^`~#mp!@⌖⌙⌇# ┖┤8;8zœm‚ÝMÅ@⌕ Ï¦pn⌠£´‥¸B‛d⌖!¿ª⌌⌋CJ0k²°ŢZ@Lä…ãõô&lt;ÿv:Ô@¤3⌐gyhçÏÐÏák­:[⌗Rm‟*Jéší⌕]ì⌙½Ù=Ñ⌉⌙nðBC⌅yZS‥⌞&quot;jÆ†G`)êt\bMCQcÿT⌅/­¾Xeú9Ø⌖ì⌖&lt;Ááí†ú⌎*Å´9Ťs6}£Jx⌘3½Æª⌕Í}ƕáe⌠&lt;Ú)&lt;3⌚₯ 2⌂ê⌍ñ¿ÏÛ₮\¢W[*ì.hŔËŻ„ŸÔóÖòÆ1°※é\⌕⌝G3Öp5⌊⌛\0úÃ⌟•â×⌘É⌗78q]þMîú+K¸+⌎¾⌚⌝å¬⌍=2²`©;yV.áqðiÙü⌃pU¶⌂^ ¾Îî7p+wîE\Yúc-⌏¶/}è⌃ÞÆè⌐þM¼:⌇‡⌃ÅmÚ⌓7L=E¯aý⌆N4rÛ011"/>
    <w:docVar w:name="mpo17661345" w:val="ÌÍ^`~#mp!@A$H#Y┗┫97Ŗ⌔miKlÐh/hókxpd·m⌅⌉⌞g⌋i!@`&quot;⌡0S&lt;7VJHQH011"/>
    <w:docVar w:name="mpo19797611" w:val="ÌÍ^`~#mp!@\I*#!┛┨4;{Ś⌑mdOiËl,c÷hsph´h⌉⌆⌙k⌈d!@(P⌄⌝X95[GFVE011"/>
    <w:docVar w:name="mpo25665486" w:val="IncludeTime1ÌÍ^`~#mp!@⌎⌑1#⌕┕┨92:}yŗmv‚ïO⌅E⌏‧Ó¤p„⌍AZXQ⌖f„Læ!⌒0⌗cc⌒⌛ÑY1£⌡@⌙ù9jŹGãÊ°·!?ˇ%”ÏxO¨ñj¨⌝⌝é]D²ï9VD÷¿n»gżiÅB,Ñ⌎Ú⌉óÌþ⌘Ω#pl6¶⌚j⌒`)VVK«+nP&lt;&gt;Ñ2Þ/˝³V#ø¾+Y`¬ñ¾¦§Ryx⌈⌟p=℣O‴xPªx&gt;ªD․2høÐcm4&amp;h⌒º⌋*⌇¾‟¹4Çêſµï7HYðËÐ~ÐôîQíT©Þ`⌈‾{+T¤⌔ãKØ?Ö&quot;«_Üõd⌕»õÅ›⌡„\®á¡ÿE´żÔ®@‡xÔ¼z¬î±@_ƁN7öÝÓTydôœ«ÑKˇ]EÀa0Y⌟*YbÈ{⌋Ï&gt;Ihîû$÷%úÈ0äî⌞⌙JÔ|¡J8Ţà⌕}jEùXú8c℣6Ì(hÊ®%bZ⌟çÍ:ťîËÍ½ª5Õ»˝°ˠ`PΩ‛⌔Þ⌎‣rã¥¬Ál~⌙ÛüµˊÛ^ý¢}:ó~+qË„6Ôö―sxöſ'Òý»KûÔ―¿õšDSOÊXÔ⌒[C‣u011"/>
    <w:docVar w:name="mpo28801197" w:val="IncludeTime1ÌÍ^`~#mp!@!!⌏#&lt;┗┥&gt;:5{Ŕm‬“ðPEB⌘ÈÐ©pŕ⌒f⌃Ø⌚'3⌛ýQ!LM⌓h¥wYÆ※¨º⌒@WÀNþŖþ|²¸:‛YlIywlêíℨ℥no«h⌍⌟*+XF⌆úC6ã¤―ŧ¥•ŧ⌖n'&amp;RŔe⌋ℨfÖZÓ‱¸-¤Õ⌉w¢ÀÕé¨-Ëg⌚ò ˉ¥÷:ÚTÑ[èj;Ê/R½⌖m⌌Á¥¶4Ä⌞&lt;÷Õ¬$|ªÉ⌐&quot;q0h&gt;²2UCÀ3{àºÃ|⌋nÈ:ó¼Ñ⌑ÕE₯ß•℥ÌWÃ%¸I¨de¸¼ëf{Vţ⌝⌕¸ƃ‛⌑J®1Û¬⌌Lå2=ñò²Ãk⌂ïÖdÿŢtDÈ⌛´ƕ¯⁀Xf⌄uyƘpè„)á‬ûØRZp—KÏ]åŖ¸?‚¸»žÅ⌚9⌆Ô‡»&gt;ŹH¨*½%µœÁ$-⌞á­⌘­áàv]zÌ⌂⌐˟íŦ℥O·i1ó⌂!mó⌂V⌘ãè8․£Höíê‿℥(âöý⌎¶⌇3¬´/=⌋êŹ¹Êöŧ⌚æxÏÿíu©⌗0ÞIü⌝ñ÷BDîsP&lt;⌆j²4{Oq&quot;^ñzã·zü&quot;~s⁀Ìhû¤phſØ011"/>
    <w:docVar w:name="mpo30227333" w:val="DateTimeSeparator1ÌÍ^`~#mp!@⌝-+#-┘┨97&lt;|ŗmÕN⌈e⌖‪ÃKpý₰‪a7á⌈⌏Ç⌊!sî&amp;íJ.Ø:,0Éð@&amp;®Ûímî¡þ⌄…¦⌎⌗h&lt;7kjÓÒðÝW*àU5FiIµ}P‥w÷”_÷•ΩS[æÊ⌄E°È`ÚeVxÍÑ⌓Dþh⌚­ºhQ'R7ú¡&quot;⌟Ω†WaÙ©¹Eß}mãæ½fìòïBΩ\¨sˊ÷½¹Ü^…‽Vp¦⌃Ɩ⌝•9‽⌖&amp;ß“Û|eøË÷…5ÔëØò‴ïZø⌝îÿ⌝⌊2ù#ð‗B¯|O†2+n⌈ßPqß¼üsß¥=⌙“#ˠK ¯c¬~ú¡ìjJ¼ÚÛƂïŗ+‘¹ßÂÛk@*Iõ¯⌅ZIúÎU⌍żò¯Ö‪2&gt;⌇ú$g`N011"/>
    <w:docVar w:name="mpo40168661" w:val="ÌÍ^`~#mp!@I&gt;⌑#*┚┥5:}|ř⌎meNfÌk)döetpg±i⌈⌃⌚j⌅e!@⌌&lt;⌒WV:;YHLTF011"/>
    <w:docVar w:name="mpo40378684" w:val="IncludeAuthorNameÌÍ^`~#mp!@X⌠&gt;#⌝┗┪89&lt;~{řm‛gPÅF⌔ åSp¹⌏&quot;,†“)ÊW⌛!₯L⌟⌘IC/ªT'@§⌃&amp;ó?CáÏqªSª/ë⌗Õ¿ãÛ:uèxm±7Ý µU+Ì⌚oÈ=YQz²ℤƁ^Jé}'⌟+é:Ɣ8WQ`£Â⌂․pSà×³⌟¦⌑Ú,lVñû⌋°S'ß¯g⌘⌂'Ç‶WyÎ ï‬⌊÷Q@r}Ý“vž?Ú)0℥Lö|⌅Eæª3_S⌛”⌞⌜.ÜP⌠¾m⌙⌆⌃Vá‗ZVÕ~Pçřñ6ªQ⌑½´¼þ⌎ÎïC⌆YNr{ÿ±⌐h¬ü―aℨÏn‬ä!lM²Q­Dá⌆Ìv/­µ′1⌌Ðü.&quot;⌓â⌕+⌇äÓåQ½ê ©Býë⌚⌙\‧ºOóƀ^⁀ÂÝdÒÂìL¤­DASÜi3₲1Xm¨½f$⌠¸=Û¨xÖxàþ¯9ðz⌇ù½/Ü⌂»gŧ× IëYa÷RÏÈù÷⌕é=k011"/>
    <w:docVar w:name="mpo50849992" w:val="ÌÍ^`~#mp!@BPR#⌠├┬4&lt;{ś⌕mdPmËm0cølspi¸h⌊⌊⌙l⌌d!@9;_-UB7XPHSN011"/>
    <w:docVar w:name="mpo57664597" w:val="IncludeDate1ÌÍ^`~#mp!@;⌛Q#R┖┬@4:zśm}‛áR⌇I⌚G÷¯pVæe(y⌡“,ƅ⌇!Øˈ⌐IF-Óºi\(ë@KÂ×†~⌈„¯(6+2£±òðce×ÿ^y_⌍?0⌆ÝRÁj÷ù7} Ñ|!ð^†jŚå²ÊtôKW[⌅l0Y^_5t⌋cÞ⌚P¬O^óF⌜uµrP9±75OôøIkÐ¿IÝlMţ±BK¿)?¿r⌞p{&amp;+¹rÆ⌈Ì&gt;{⌍&lt;½XWUÅ₴ Ëâℤ®iøÔ\Ù⌕²aÒSÔu⌙Ñïå⌊Ý,Ì|§&quot;&quot;⌄F¸¹P&amp;WEL⌠¼yÓ′{⌍½‡E⌃⌛GªM]M⌗ñ¨u_³cÅ‸m⌏¶êƅ⌐FNK·a…ℤÝñ··sØÈrXð°,x⌈{ÑâùN⌂Åz ¹4é©íøú6⌈D⌑äøJæ‟2÷¾ä⌆Ð⌐7m&gt;ï×ƚ⌃:°U;å⌙\z¼h-Wµ}ſKóţ⌎û¿²⌚PJ ⌞Æ%5êáÝQb\⌇ÝfÏÁd⌂­ä⌞5xôeŚÿÄ\⌈æ⌛PÅ~¹Pq⌄Ø)=ÛÒ․⌘ûUªaq•․°011"/>
    <w:docVar w:name="mpo65558457" w:val="IncludeDate1ÌÍ^`~#mp!@GP⌃#⌊├┤8:4|œm…‡ÝNÊ@⌒‮Ï£p4÷&quot;M~¬,Ä ‪Ä!⌍Ìhcj⌊⌔*jL⌏@Ô⌕¢¾⌘Ïé?ÛF⌎CÌan¦;ovÎƆi_#=1ÑEX±&quot;⌏ùC5}ƒŸó⌓?Ú3,Ù⌒»'ÁRô•][§:Z⌟_⌈Ý¡B½T$ƅTÁ⌡ÁBzu⌏:V!2⌔µÉ⌅Õ°9#2³⌑ÉV: o=ÌUïš⌂ÛLOB~Cã6z⌃VËzŠ3½Ô⌝ð%ªUiâÇV™p°ƒÅ/ç´¶YCu⌎6ý¯¶[&gt;§C⌗x«ƒß^ˆÅ¸ZKöũú¹÷Æ”⌝· ⌕¸ÚÆzñ/A¿2⌐Dó u»¡’gÆ7Ô±ùVûà;⌍_ñrçT⌄Ô¹2E·}É[ÁmïØéWsÕ⌠⌡ãCùIrä²‡gæëƚ^l×}³Zx‮é®⌘H⁂s⌋¯&amp;ùeÆ]⌌ýòY⌅ßkÊ3î’ÂæÏÕCWÅ'`ÿûîz]WWƆý¯âÍ⌐ÎäfÆj=Ãì¯Ñ|Ås²(ÊÖóÓÐßy†”û9⌈⌄Ô7†—•¶011"/>
    <w:docVar w:name="mpo71321630" w:val="ÌÍ^`~#mp!@+⌊⌔#a└┥:6}œ⌎mjHfÑe)iðeypa±n0e⌋⌂⌜ˏ⌄‚!@8`L⌞Y@5\NFWL011"/>
    <w:docVar w:name="mpo83071095" w:val="ÌÍ^`~#mp!@⌑⌡⌆#$┗┤49|{Ŗ⌍mdKeËh(códspd°h3b⌅⌅⌛ţ⌇“!@BSc$XB6[PGVN011"/>
    <w:docVar w:name="mpo84144706" w:val="ÌÍ^`~#mp!@&quot;⌑8#D┕┩75~Ŕ⌒mgIjÎf-fñivpbµk⌃⌇⌜e⌉g!@W8⌙⌖U;5XIFSG011"/>
    <w:docVar w:name="mpo89213175" w:val="IncludeDate1ÌÍ^`~#mp!@⌟=⌚##┚┦;64~ŕmx‟ßQÈB⌕‬Ñ¦p2ù⌃‣“”*Æ«Nä!⌊h²47⌈PŢ⌟WU@í⌍′izQÅÛ⌛Ë⌞µWℨÛüßℤ@mxþ í\‶(_ÍÚSŕƃ×Ù⌕&lt;Ø⌛|¯⌟´4 ê⌅⌄⌝Ë=®¹⌊¬§°­,°}~]7wYI[{øV£e℥åæYŕkmwpr9*⌚Uo×P³vDÅ⌍&gt;:jíu5⌡⌑7èŘý‟⌓⌈jªK7Q¿⌘Ã⌆¸'Oÿt․″ô¹w%Ë&lt;±ï\T!⌕‽ØyÐéw­⌎⌡#ÿp⌡Ìˉ´―LÀ¬@øÙ˞tè―Ë†``e¿û‚Ág`{⌔H⁀¢P¹§Å®bbÆÕ³:úúÊA-À”»uW⌆è^‥ßℤ`w#Uw;8⌇Æž⌙«ÓAIýŢJè¾g⌌Ã.‖ë]ë'±9mţ⌞·‚Á~©ø££⌓ßÙ»(ÒCÝ‡Ù³ê‟Ã83r=]‖Ø&gt;i¿⌞ƀfüÅí․J‗⌖⌍{­Ü‣Å±MV⌃ç\³³ŕ&lt;`,⌇!¼´{Oìwå‖Í©‼$«⌛5⌚ëYá‡ƃ‚d011"/>
    <w:docVar w:name="mpo92911696" w:val="ÌÍ^`~#mp!@⌜⌗[#G┖┭86ŕ⌖mhJnÏg1gòmwpc¹l⌄⌋⌝f⌍h!@;⌚@⌖R?5UMFPK011"/>
    <w:docVar w:name="mpo94888616" w:val="IncludeAuthorÌÍ^`~#mp!@,⌋⌄#$└┤898xœm‘ÝMÃ@⌕…Ï¦pl⌠£´‥¶B‛b⌖!¿¨⌌⌋AJ0i²°ŠZ@Lâ…ãóô&lt;ýv:Ò@¤K⌎gyfçÏÎÏái­:Y⌗⌓m”*Jçší⌓]ì⌗½Ù;Ña⌙lðBA⌅yXS‥⌜&quot;jÄ†G_'êtZ`MCOcÿR⌅/«¾Qeø9Ø⌔ì⌖:Ááë†ú⌌*Ã´BŤq6}¡Jx⌖3½Äª⌕Ë}ƕße⌠&lt;Ø)&lt;1⌚₯…2⌂è⌍ñ½ÏÛ€\ WT*ê.hŒËŻ“ŸÔñÖòÄ1°‹é\⌓⌝P3Ôp5⌈⌛\.úÃ⌝•âÕ⌘É⌕78o]þMìú+~K¸}+⌎¼⌚⌝ã¬⌍;2°`©9yO.ßqðgÙüÿpS¶⌂\ ¾Ìî7n+uîN\Wúc+⌏¶-}èÿÞÆæ⌐þK¼:⌅‡⌃ÃmÚ⌑7L;E¯_ý⌆L4rÙ011"/>
    <w:docVar w:name="PaperType" w:val="plain"/>
    <w:docVar w:name="zzmp10mSEGsValidated" w:val="1"/>
    <w:docVar w:name="zzmp10NoTrailerPromptID" w:val="TorysAtWork.17063644.3"/>
    <w:docVar w:name="zzmpFixedCurScheme" w:val="MultiLevel"/>
    <w:docVar w:name="zzmpFixedCurScheme_9.0" w:val="2zzmpMultiLevel"/>
    <w:docVar w:name="zzmpLTFontsClean" w:val="True"/>
    <w:docVar w:name="zzmpMultiLevel" w:val="||Multi-Level|2|4|1|1|0|0||1|0|0||1|0|0||1|0|0||1|0|0||1|0|0||1|0|0||1|0|0||1|0|0||"/>
    <w:docVar w:name="zzmpnSession" w:val="3.173465E-02"/>
  </w:docVars>
  <w:rsids>
    <w:rsidRoot w:val="001C37E7"/>
    <w:rsid w:val="00041408"/>
    <w:rsid w:val="0004242C"/>
    <w:rsid w:val="00043533"/>
    <w:rsid w:val="00045903"/>
    <w:rsid w:val="00051019"/>
    <w:rsid w:val="00060D43"/>
    <w:rsid w:val="0006425D"/>
    <w:rsid w:val="00064A32"/>
    <w:rsid w:val="000669E2"/>
    <w:rsid w:val="000673A5"/>
    <w:rsid w:val="0007070A"/>
    <w:rsid w:val="00073F8B"/>
    <w:rsid w:val="000765AE"/>
    <w:rsid w:val="00077CE1"/>
    <w:rsid w:val="00092EAC"/>
    <w:rsid w:val="00097A97"/>
    <w:rsid w:val="000A0158"/>
    <w:rsid w:val="000A6CF7"/>
    <w:rsid w:val="000C0C91"/>
    <w:rsid w:val="000C62FC"/>
    <w:rsid w:val="000D402F"/>
    <w:rsid w:val="000D6E44"/>
    <w:rsid w:val="000E76E2"/>
    <w:rsid w:val="000F048E"/>
    <w:rsid w:val="000F4013"/>
    <w:rsid w:val="000F6A06"/>
    <w:rsid w:val="00102CB7"/>
    <w:rsid w:val="001111FD"/>
    <w:rsid w:val="001147AA"/>
    <w:rsid w:val="00115CF6"/>
    <w:rsid w:val="00120492"/>
    <w:rsid w:val="00124AC7"/>
    <w:rsid w:val="00124CF8"/>
    <w:rsid w:val="0013001C"/>
    <w:rsid w:val="00131C7E"/>
    <w:rsid w:val="0013524A"/>
    <w:rsid w:val="001464C4"/>
    <w:rsid w:val="00147E66"/>
    <w:rsid w:val="001504E7"/>
    <w:rsid w:val="00170F86"/>
    <w:rsid w:val="001739F4"/>
    <w:rsid w:val="001755F7"/>
    <w:rsid w:val="001756FC"/>
    <w:rsid w:val="00183A58"/>
    <w:rsid w:val="001851AF"/>
    <w:rsid w:val="00187964"/>
    <w:rsid w:val="00197C52"/>
    <w:rsid w:val="001A4EB8"/>
    <w:rsid w:val="001C29C4"/>
    <w:rsid w:val="001C37E7"/>
    <w:rsid w:val="001C487A"/>
    <w:rsid w:val="001D076A"/>
    <w:rsid w:val="001E1C3B"/>
    <w:rsid w:val="001E619A"/>
    <w:rsid w:val="001E66E6"/>
    <w:rsid w:val="001F0C9F"/>
    <w:rsid w:val="001F2B79"/>
    <w:rsid w:val="00200284"/>
    <w:rsid w:val="002025F5"/>
    <w:rsid w:val="00203348"/>
    <w:rsid w:val="00212DA6"/>
    <w:rsid w:val="00214D56"/>
    <w:rsid w:val="002207A1"/>
    <w:rsid w:val="00223013"/>
    <w:rsid w:val="00224956"/>
    <w:rsid w:val="00230BB1"/>
    <w:rsid w:val="00237D1E"/>
    <w:rsid w:val="0024763B"/>
    <w:rsid w:val="00252461"/>
    <w:rsid w:val="00254236"/>
    <w:rsid w:val="002644F1"/>
    <w:rsid w:val="00264776"/>
    <w:rsid w:val="00272D73"/>
    <w:rsid w:val="00276F38"/>
    <w:rsid w:val="00280B7A"/>
    <w:rsid w:val="00287848"/>
    <w:rsid w:val="002917D2"/>
    <w:rsid w:val="00296DB0"/>
    <w:rsid w:val="00297691"/>
    <w:rsid w:val="002A634B"/>
    <w:rsid w:val="002B0C0D"/>
    <w:rsid w:val="002B2FEE"/>
    <w:rsid w:val="002B5494"/>
    <w:rsid w:val="002D2E55"/>
    <w:rsid w:val="002D3695"/>
    <w:rsid w:val="002D56A9"/>
    <w:rsid w:val="002E5754"/>
    <w:rsid w:val="00302F9D"/>
    <w:rsid w:val="00303309"/>
    <w:rsid w:val="0030764D"/>
    <w:rsid w:val="00311E2F"/>
    <w:rsid w:val="003221D6"/>
    <w:rsid w:val="003263C8"/>
    <w:rsid w:val="00326C3F"/>
    <w:rsid w:val="003338F8"/>
    <w:rsid w:val="00335215"/>
    <w:rsid w:val="003368B2"/>
    <w:rsid w:val="00336ABE"/>
    <w:rsid w:val="00340941"/>
    <w:rsid w:val="00343B94"/>
    <w:rsid w:val="003478E5"/>
    <w:rsid w:val="00353411"/>
    <w:rsid w:val="00356024"/>
    <w:rsid w:val="003623E9"/>
    <w:rsid w:val="00363148"/>
    <w:rsid w:val="00373D59"/>
    <w:rsid w:val="00374BF3"/>
    <w:rsid w:val="0037598B"/>
    <w:rsid w:val="00380556"/>
    <w:rsid w:val="003910DE"/>
    <w:rsid w:val="003A356B"/>
    <w:rsid w:val="003A54FA"/>
    <w:rsid w:val="003B1599"/>
    <w:rsid w:val="003B26A7"/>
    <w:rsid w:val="003B378A"/>
    <w:rsid w:val="003B397F"/>
    <w:rsid w:val="003C056D"/>
    <w:rsid w:val="003C1503"/>
    <w:rsid w:val="003C3575"/>
    <w:rsid w:val="003C70B6"/>
    <w:rsid w:val="003C7D9B"/>
    <w:rsid w:val="003D04AC"/>
    <w:rsid w:val="003D05D0"/>
    <w:rsid w:val="003D0FCF"/>
    <w:rsid w:val="003D18DA"/>
    <w:rsid w:val="003D22C4"/>
    <w:rsid w:val="003D4C4B"/>
    <w:rsid w:val="003E2877"/>
    <w:rsid w:val="003E37DB"/>
    <w:rsid w:val="003E3E9E"/>
    <w:rsid w:val="003E4C6B"/>
    <w:rsid w:val="003E593D"/>
    <w:rsid w:val="003F231F"/>
    <w:rsid w:val="003F3D54"/>
    <w:rsid w:val="003F6B0E"/>
    <w:rsid w:val="003F771E"/>
    <w:rsid w:val="003F78E2"/>
    <w:rsid w:val="00402D49"/>
    <w:rsid w:val="0040325D"/>
    <w:rsid w:val="00407B3A"/>
    <w:rsid w:val="004115ED"/>
    <w:rsid w:val="0042789C"/>
    <w:rsid w:val="00431A3E"/>
    <w:rsid w:val="00432373"/>
    <w:rsid w:val="00433627"/>
    <w:rsid w:val="00436E01"/>
    <w:rsid w:val="00443C1F"/>
    <w:rsid w:val="00447534"/>
    <w:rsid w:val="00456A98"/>
    <w:rsid w:val="004625C6"/>
    <w:rsid w:val="004675EC"/>
    <w:rsid w:val="00470E09"/>
    <w:rsid w:val="00471F6A"/>
    <w:rsid w:val="0047252E"/>
    <w:rsid w:val="0047340E"/>
    <w:rsid w:val="004758B3"/>
    <w:rsid w:val="00483941"/>
    <w:rsid w:val="004928EF"/>
    <w:rsid w:val="004941C1"/>
    <w:rsid w:val="004972FF"/>
    <w:rsid w:val="004A02CE"/>
    <w:rsid w:val="004B37C1"/>
    <w:rsid w:val="004B6A0C"/>
    <w:rsid w:val="004C2ABC"/>
    <w:rsid w:val="004C45D7"/>
    <w:rsid w:val="004C46F0"/>
    <w:rsid w:val="004C4A83"/>
    <w:rsid w:val="004D02A8"/>
    <w:rsid w:val="004D206F"/>
    <w:rsid w:val="004D3D8C"/>
    <w:rsid w:val="004D7EEC"/>
    <w:rsid w:val="004E045B"/>
    <w:rsid w:val="004E3078"/>
    <w:rsid w:val="004E4D65"/>
    <w:rsid w:val="004E5461"/>
    <w:rsid w:val="004E6031"/>
    <w:rsid w:val="004F0216"/>
    <w:rsid w:val="004F5F5B"/>
    <w:rsid w:val="00504F04"/>
    <w:rsid w:val="00505541"/>
    <w:rsid w:val="00514F5E"/>
    <w:rsid w:val="00515765"/>
    <w:rsid w:val="005164E4"/>
    <w:rsid w:val="00516AFA"/>
    <w:rsid w:val="00521948"/>
    <w:rsid w:val="005240CF"/>
    <w:rsid w:val="00530306"/>
    <w:rsid w:val="00537171"/>
    <w:rsid w:val="00540D89"/>
    <w:rsid w:val="00543949"/>
    <w:rsid w:val="00551AFD"/>
    <w:rsid w:val="005528A6"/>
    <w:rsid w:val="005530D4"/>
    <w:rsid w:val="00553787"/>
    <w:rsid w:val="0055409C"/>
    <w:rsid w:val="00557E3A"/>
    <w:rsid w:val="00562510"/>
    <w:rsid w:val="00564972"/>
    <w:rsid w:val="00571206"/>
    <w:rsid w:val="0057429C"/>
    <w:rsid w:val="0057608E"/>
    <w:rsid w:val="0057613E"/>
    <w:rsid w:val="00584B97"/>
    <w:rsid w:val="00584DDC"/>
    <w:rsid w:val="005902BF"/>
    <w:rsid w:val="005927BD"/>
    <w:rsid w:val="00594CFA"/>
    <w:rsid w:val="005A124F"/>
    <w:rsid w:val="005A44F1"/>
    <w:rsid w:val="005B6EE6"/>
    <w:rsid w:val="005B7C74"/>
    <w:rsid w:val="005C0797"/>
    <w:rsid w:val="005C2115"/>
    <w:rsid w:val="005C3793"/>
    <w:rsid w:val="005C609C"/>
    <w:rsid w:val="005D1C2A"/>
    <w:rsid w:val="005D296F"/>
    <w:rsid w:val="005D30BE"/>
    <w:rsid w:val="005D38E1"/>
    <w:rsid w:val="005D39C7"/>
    <w:rsid w:val="005D7133"/>
    <w:rsid w:val="005E3555"/>
    <w:rsid w:val="005E42D1"/>
    <w:rsid w:val="005F1E97"/>
    <w:rsid w:val="005F5D6D"/>
    <w:rsid w:val="005F7A96"/>
    <w:rsid w:val="005F7E3F"/>
    <w:rsid w:val="00601507"/>
    <w:rsid w:val="00601984"/>
    <w:rsid w:val="006019D7"/>
    <w:rsid w:val="00601B28"/>
    <w:rsid w:val="0060308D"/>
    <w:rsid w:val="0060787E"/>
    <w:rsid w:val="00611B31"/>
    <w:rsid w:val="006169CE"/>
    <w:rsid w:val="006264DA"/>
    <w:rsid w:val="00627BD6"/>
    <w:rsid w:val="00631A16"/>
    <w:rsid w:val="00632DAD"/>
    <w:rsid w:val="00637DA1"/>
    <w:rsid w:val="006447C6"/>
    <w:rsid w:val="00647EDC"/>
    <w:rsid w:val="00657C11"/>
    <w:rsid w:val="00663DEC"/>
    <w:rsid w:val="006661AB"/>
    <w:rsid w:val="006716B0"/>
    <w:rsid w:val="00672F2F"/>
    <w:rsid w:val="0067430D"/>
    <w:rsid w:val="00676555"/>
    <w:rsid w:val="00681563"/>
    <w:rsid w:val="00683D86"/>
    <w:rsid w:val="0069205B"/>
    <w:rsid w:val="006A39DB"/>
    <w:rsid w:val="006A55F7"/>
    <w:rsid w:val="006A5F4C"/>
    <w:rsid w:val="006B0DC2"/>
    <w:rsid w:val="006C14D6"/>
    <w:rsid w:val="006D31F1"/>
    <w:rsid w:val="006D4E20"/>
    <w:rsid w:val="006D55CC"/>
    <w:rsid w:val="006E060A"/>
    <w:rsid w:val="006E0FD0"/>
    <w:rsid w:val="006E4974"/>
    <w:rsid w:val="006F3150"/>
    <w:rsid w:val="00702C0A"/>
    <w:rsid w:val="007063B9"/>
    <w:rsid w:val="00710667"/>
    <w:rsid w:val="00724980"/>
    <w:rsid w:val="00724AA4"/>
    <w:rsid w:val="00733F39"/>
    <w:rsid w:val="00736C83"/>
    <w:rsid w:val="007376B3"/>
    <w:rsid w:val="007473B6"/>
    <w:rsid w:val="00750865"/>
    <w:rsid w:val="007523FB"/>
    <w:rsid w:val="00754C6D"/>
    <w:rsid w:val="00781DA9"/>
    <w:rsid w:val="00782FC5"/>
    <w:rsid w:val="00794946"/>
    <w:rsid w:val="007A2018"/>
    <w:rsid w:val="007A3F5F"/>
    <w:rsid w:val="007A7ABA"/>
    <w:rsid w:val="007B16D1"/>
    <w:rsid w:val="007C5152"/>
    <w:rsid w:val="007C570F"/>
    <w:rsid w:val="007D1A9C"/>
    <w:rsid w:val="007D35B9"/>
    <w:rsid w:val="007D5F33"/>
    <w:rsid w:val="007E0B50"/>
    <w:rsid w:val="007E22E8"/>
    <w:rsid w:val="007E5322"/>
    <w:rsid w:val="007F7374"/>
    <w:rsid w:val="00801E25"/>
    <w:rsid w:val="00803C43"/>
    <w:rsid w:val="008110B9"/>
    <w:rsid w:val="00812DAC"/>
    <w:rsid w:val="008138C8"/>
    <w:rsid w:val="00817EE2"/>
    <w:rsid w:val="00823984"/>
    <w:rsid w:val="00827F50"/>
    <w:rsid w:val="00832288"/>
    <w:rsid w:val="00855F37"/>
    <w:rsid w:val="008624C1"/>
    <w:rsid w:val="0086305E"/>
    <w:rsid w:val="0086460F"/>
    <w:rsid w:val="0086718F"/>
    <w:rsid w:val="008719B6"/>
    <w:rsid w:val="00874191"/>
    <w:rsid w:val="00885B1D"/>
    <w:rsid w:val="00894BF1"/>
    <w:rsid w:val="008968AD"/>
    <w:rsid w:val="008A12A7"/>
    <w:rsid w:val="008A22D8"/>
    <w:rsid w:val="008A6DF6"/>
    <w:rsid w:val="008C313C"/>
    <w:rsid w:val="008C434D"/>
    <w:rsid w:val="008D28C6"/>
    <w:rsid w:val="008D33D3"/>
    <w:rsid w:val="008E262D"/>
    <w:rsid w:val="008E4C66"/>
    <w:rsid w:val="008E738A"/>
    <w:rsid w:val="008F1310"/>
    <w:rsid w:val="008F365C"/>
    <w:rsid w:val="008F4475"/>
    <w:rsid w:val="008F4F89"/>
    <w:rsid w:val="008F5F5D"/>
    <w:rsid w:val="009004DA"/>
    <w:rsid w:val="00901D18"/>
    <w:rsid w:val="009022B6"/>
    <w:rsid w:val="00907E3B"/>
    <w:rsid w:val="00910525"/>
    <w:rsid w:val="0091637B"/>
    <w:rsid w:val="00921BAA"/>
    <w:rsid w:val="00932BEC"/>
    <w:rsid w:val="0093750C"/>
    <w:rsid w:val="009375D8"/>
    <w:rsid w:val="00940DC5"/>
    <w:rsid w:val="00941BD4"/>
    <w:rsid w:val="00952A61"/>
    <w:rsid w:val="00956B7C"/>
    <w:rsid w:val="0096192E"/>
    <w:rsid w:val="0097073D"/>
    <w:rsid w:val="0097387F"/>
    <w:rsid w:val="009773C6"/>
    <w:rsid w:val="0098160E"/>
    <w:rsid w:val="009843ED"/>
    <w:rsid w:val="00995204"/>
    <w:rsid w:val="00996973"/>
    <w:rsid w:val="009A0A5E"/>
    <w:rsid w:val="009A31F7"/>
    <w:rsid w:val="009C2FD9"/>
    <w:rsid w:val="009D1C57"/>
    <w:rsid w:val="009D2CA8"/>
    <w:rsid w:val="009D33B9"/>
    <w:rsid w:val="009D4A83"/>
    <w:rsid w:val="009E2827"/>
    <w:rsid w:val="009E35CE"/>
    <w:rsid w:val="009E62AA"/>
    <w:rsid w:val="009F0ECB"/>
    <w:rsid w:val="009F1909"/>
    <w:rsid w:val="00A05C67"/>
    <w:rsid w:val="00A05E32"/>
    <w:rsid w:val="00A0696F"/>
    <w:rsid w:val="00A11DD6"/>
    <w:rsid w:val="00A14C0F"/>
    <w:rsid w:val="00A17799"/>
    <w:rsid w:val="00A17886"/>
    <w:rsid w:val="00A20807"/>
    <w:rsid w:val="00A30421"/>
    <w:rsid w:val="00A30EE0"/>
    <w:rsid w:val="00A33672"/>
    <w:rsid w:val="00A36602"/>
    <w:rsid w:val="00A37C31"/>
    <w:rsid w:val="00A46473"/>
    <w:rsid w:val="00A51F4F"/>
    <w:rsid w:val="00A537F7"/>
    <w:rsid w:val="00A6104F"/>
    <w:rsid w:val="00A64B87"/>
    <w:rsid w:val="00A64F4F"/>
    <w:rsid w:val="00A6731C"/>
    <w:rsid w:val="00A76FEE"/>
    <w:rsid w:val="00A853B7"/>
    <w:rsid w:val="00AA0222"/>
    <w:rsid w:val="00AA1233"/>
    <w:rsid w:val="00AA1F8D"/>
    <w:rsid w:val="00AA24A2"/>
    <w:rsid w:val="00AA7B30"/>
    <w:rsid w:val="00AB0190"/>
    <w:rsid w:val="00AB5C61"/>
    <w:rsid w:val="00AC0EF7"/>
    <w:rsid w:val="00AD1EBA"/>
    <w:rsid w:val="00AD3184"/>
    <w:rsid w:val="00AD3911"/>
    <w:rsid w:val="00AE1178"/>
    <w:rsid w:val="00AE2E30"/>
    <w:rsid w:val="00AE571A"/>
    <w:rsid w:val="00AE75E5"/>
    <w:rsid w:val="00AF1E8C"/>
    <w:rsid w:val="00AF4C8D"/>
    <w:rsid w:val="00AF7EF7"/>
    <w:rsid w:val="00B01160"/>
    <w:rsid w:val="00B05DB1"/>
    <w:rsid w:val="00B06339"/>
    <w:rsid w:val="00B067E4"/>
    <w:rsid w:val="00B10E48"/>
    <w:rsid w:val="00B12DB0"/>
    <w:rsid w:val="00B12EDE"/>
    <w:rsid w:val="00B135E1"/>
    <w:rsid w:val="00B2034D"/>
    <w:rsid w:val="00B40CAF"/>
    <w:rsid w:val="00B44BF6"/>
    <w:rsid w:val="00B46604"/>
    <w:rsid w:val="00B5089D"/>
    <w:rsid w:val="00B50B01"/>
    <w:rsid w:val="00B51E11"/>
    <w:rsid w:val="00B53378"/>
    <w:rsid w:val="00B654C0"/>
    <w:rsid w:val="00B76F8F"/>
    <w:rsid w:val="00B96B3D"/>
    <w:rsid w:val="00BA3B5D"/>
    <w:rsid w:val="00BA5AE9"/>
    <w:rsid w:val="00BA67D8"/>
    <w:rsid w:val="00BB0CD9"/>
    <w:rsid w:val="00BB1AD1"/>
    <w:rsid w:val="00BB5EE3"/>
    <w:rsid w:val="00BC0F99"/>
    <w:rsid w:val="00BC1AFC"/>
    <w:rsid w:val="00BC327D"/>
    <w:rsid w:val="00BD058A"/>
    <w:rsid w:val="00BD5D52"/>
    <w:rsid w:val="00BE0862"/>
    <w:rsid w:val="00BE3B75"/>
    <w:rsid w:val="00BF0978"/>
    <w:rsid w:val="00BF3B74"/>
    <w:rsid w:val="00C16BEA"/>
    <w:rsid w:val="00C170F7"/>
    <w:rsid w:val="00C209B6"/>
    <w:rsid w:val="00C22C9B"/>
    <w:rsid w:val="00C24F4F"/>
    <w:rsid w:val="00C2521F"/>
    <w:rsid w:val="00C4161D"/>
    <w:rsid w:val="00C464A2"/>
    <w:rsid w:val="00C519B2"/>
    <w:rsid w:val="00C646D9"/>
    <w:rsid w:val="00C648FE"/>
    <w:rsid w:val="00C66EE8"/>
    <w:rsid w:val="00C73EAC"/>
    <w:rsid w:val="00C7611E"/>
    <w:rsid w:val="00C77727"/>
    <w:rsid w:val="00C80644"/>
    <w:rsid w:val="00C80AEB"/>
    <w:rsid w:val="00C82A2C"/>
    <w:rsid w:val="00C93DE9"/>
    <w:rsid w:val="00CA5914"/>
    <w:rsid w:val="00CA5C00"/>
    <w:rsid w:val="00CA65D3"/>
    <w:rsid w:val="00CB1F9D"/>
    <w:rsid w:val="00CC6769"/>
    <w:rsid w:val="00CC685E"/>
    <w:rsid w:val="00CC69AF"/>
    <w:rsid w:val="00CD00B0"/>
    <w:rsid w:val="00CD2FB0"/>
    <w:rsid w:val="00CD4878"/>
    <w:rsid w:val="00CF54C5"/>
    <w:rsid w:val="00D01264"/>
    <w:rsid w:val="00D075A0"/>
    <w:rsid w:val="00D22750"/>
    <w:rsid w:val="00D26F2B"/>
    <w:rsid w:val="00D27448"/>
    <w:rsid w:val="00D31B81"/>
    <w:rsid w:val="00D42CC9"/>
    <w:rsid w:val="00D45744"/>
    <w:rsid w:val="00D457BD"/>
    <w:rsid w:val="00D460B1"/>
    <w:rsid w:val="00D5233C"/>
    <w:rsid w:val="00D80454"/>
    <w:rsid w:val="00D81DBC"/>
    <w:rsid w:val="00D8514E"/>
    <w:rsid w:val="00D861BE"/>
    <w:rsid w:val="00D913FC"/>
    <w:rsid w:val="00D954BE"/>
    <w:rsid w:val="00DA7EE8"/>
    <w:rsid w:val="00DC6E06"/>
    <w:rsid w:val="00DC712A"/>
    <w:rsid w:val="00DC79C5"/>
    <w:rsid w:val="00DE5626"/>
    <w:rsid w:val="00DF365F"/>
    <w:rsid w:val="00DF4C25"/>
    <w:rsid w:val="00DF5FEC"/>
    <w:rsid w:val="00E01315"/>
    <w:rsid w:val="00E048CE"/>
    <w:rsid w:val="00E05469"/>
    <w:rsid w:val="00E1185B"/>
    <w:rsid w:val="00E164A9"/>
    <w:rsid w:val="00E22554"/>
    <w:rsid w:val="00E374F8"/>
    <w:rsid w:val="00E413B5"/>
    <w:rsid w:val="00E44BC7"/>
    <w:rsid w:val="00E470BA"/>
    <w:rsid w:val="00E72327"/>
    <w:rsid w:val="00E7787E"/>
    <w:rsid w:val="00E82801"/>
    <w:rsid w:val="00E842C5"/>
    <w:rsid w:val="00E84D5C"/>
    <w:rsid w:val="00E87ADD"/>
    <w:rsid w:val="00E90DD1"/>
    <w:rsid w:val="00E9210A"/>
    <w:rsid w:val="00E9485E"/>
    <w:rsid w:val="00E962EF"/>
    <w:rsid w:val="00E969C7"/>
    <w:rsid w:val="00EA2C09"/>
    <w:rsid w:val="00EA5BF1"/>
    <w:rsid w:val="00EA709C"/>
    <w:rsid w:val="00EB4980"/>
    <w:rsid w:val="00EC615D"/>
    <w:rsid w:val="00EC6C28"/>
    <w:rsid w:val="00ED185E"/>
    <w:rsid w:val="00ED1DF1"/>
    <w:rsid w:val="00ED27CA"/>
    <w:rsid w:val="00EE3D7A"/>
    <w:rsid w:val="00EE3DF7"/>
    <w:rsid w:val="00EE7F0A"/>
    <w:rsid w:val="00EF2A72"/>
    <w:rsid w:val="00EF2BA8"/>
    <w:rsid w:val="00F004C5"/>
    <w:rsid w:val="00F0793E"/>
    <w:rsid w:val="00F13014"/>
    <w:rsid w:val="00F14FFE"/>
    <w:rsid w:val="00F205B4"/>
    <w:rsid w:val="00F23BD3"/>
    <w:rsid w:val="00F348E5"/>
    <w:rsid w:val="00F45198"/>
    <w:rsid w:val="00F4702B"/>
    <w:rsid w:val="00F57375"/>
    <w:rsid w:val="00F57660"/>
    <w:rsid w:val="00F61669"/>
    <w:rsid w:val="00F74309"/>
    <w:rsid w:val="00F77CD6"/>
    <w:rsid w:val="00F8415D"/>
    <w:rsid w:val="00F87582"/>
    <w:rsid w:val="00F916ED"/>
    <w:rsid w:val="00F94CE4"/>
    <w:rsid w:val="00F964AD"/>
    <w:rsid w:val="00FB2BBF"/>
    <w:rsid w:val="00FC29FB"/>
    <w:rsid w:val="00FD14F1"/>
    <w:rsid w:val="00FD22A5"/>
    <w:rsid w:val="00FD493F"/>
    <w:rsid w:val="00FD533C"/>
    <w:rsid w:val="00FE2936"/>
    <w:rsid w:val="00FE42F1"/>
    <w:rsid w:val="00FE59EB"/>
    <w:rsid w:val="00FF327C"/>
    <w:rsid w:val="00FF42BA"/>
    <w:rsid w:val="00FF701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55D4"/>
  <w15:docId w15:val="{0362B466-C696-4DE2-A912-C88E0ED0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EF7"/>
    <w:pPr>
      <w:tabs>
        <w:tab w:val="center" w:pos="4680"/>
        <w:tab w:val="right" w:pos="9360"/>
      </w:tabs>
    </w:pPr>
  </w:style>
  <w:style w:type="character" w:customStyle="1" w:styleId="HeaderChar">
    <w:name w:val="Header Char"/>
    <w:basedOn w:val="DefaultParagraphFont"/>
    <w:link w:val="Header"/>
    <w:uiPriority w:val="99"/>
    <w:rsid w:val="00AC0EF7"/>
  </w:style>
  <w:style w:type="paragraph" w:styleId="Footer">
    <w:name w:val="footer"/>
    <w:basedOn w:val="Normal"/>
    <w:link w:val="FooterChar"/>
    <w:uiPriority w:val="99"/>
    <w:unhideWhenUsed/>
    <w:rsid w:val="00AC0EF7"/>
    <w:pPr>
      <w:tabs>
        <w:tab w:val="center" w:pos="4680"/>
        <w:tab w:val="right" w:pos="9360"/>
      </w:tabs>
    </w:pPr>
  </w:style>
  <w:style w:type="character" w:customStyle="1" w:styleId="FooterChar">
    <w:name w:val="Footer Char"/>
    <w:basedOn w:val="DefaultParagraphFont"/>
    <w:link w:val="Footer"/>
    <w:uiPriority w:val="99"/>
    <w:rsid w:val="00AC0EF7"/>
  </w:style>
  <w:style w:type="paragraph" w:customStyle="1" w:styleId="MacPacTrailer">
    <w:name w:val="MacPac Trailer"/>
    <w:rsid w:val="000D402F"/>
    <w:pPr>
      <w:widowControl w:val="0"/>
      <w:spacing w:line="200" w:lineRule="exact"/>
    </w:pPr>
    <w:rPr>
      <w:rFonts w:eastAsia="Times New Roman"/>
      <w:sz w:val="16"/>
    </w:rPr>
  </w:style>
  <w:style w:type="paragraph" w:styleId="BalloonText">
    <w:name w:val="Balloon Text"/>
    <w:basedOn w:val="Normal"/>
    <w:link w:val="BalloonTextChar"/>
    <w:uiPriority w:val="99"/>
    <w:semiHidden/>
    <w:unhideWhenUsed/>
    <w:rsid w:val="00097A97"/>
    <w:rPr>
      <w:rFonts w:ascii="Tahoma" w:hAnsi="Tahoma" w:cs="Tahoma"/>
      <w:sz w:val="16"/>
      <w:szCs w:val="16"/>
    </w:rPr>
  </w:style>
  <w:style w:type="character" w:customStyle="1" w:styleId="BalloonTextChar">
    <w:name w:val="Balloon Text Char"/>
    <w:basedOn w:val="DefaultParagraphFont"/>
    <w:link w:val="BalloonText"/>
    <w:uiPriority w:val="99"/>
    <w:semiHidden/>
    <w:rsid w:val="00097A97"/>
    <w:rPr>
      <w:rFonts w:ascii="Tahoma" w:hAnsi="Tahoma" w:cs="Tahoma"/>
      <w:sz w:val="16"/>
      <w:szCs w:val="16"/>
    </w:rPr>
  </w:style>
  <w:style w:type="character" w:styleId="PlaceholderText">
    <w:name w:val="Placeholder Text"/>
    <w:basedOn w:val="DefaultParagraphFont"/>
    <w:uiPriority w:val="99"/>
    <w:semiHidden/>
    <w:rsid w:val="00097A97"/>
    <w:rPr>
      <w:color w:val="808080"/>
    </w:rPr>
  </w:style>
  <w:style w:type="character" w:customStyle="1" w:styleId="Prompt">
    <w:name w:val="Prompt"/>
    <w:aliases w:val="PR"/>
    <w:basedOn w:val="DefaultParagraphFont"/>
    <w:rsid w:val="0091637B"/>
    <w:rPr>
      <w:rFonts w:ascii="Arial" w:eastAsia="Arial" w:hAnsi="Arial"/>
      <w:b/>
      <w:color w:val="auto"/>
      <w:sz w:val="20"/>
    </w:rPr>
  </w:style>
  <w:style w:type="character" w:styleId="CommentReference">
    <w:name w:val="annotation reference"/>
    <w:basedOn w:val="DefaultParagraphFont"/>
    <w:uiPriority w:val="99"/>
    <w:semiHidden/>
    <w:unhideWhenUsed/>
    <w:rsid w:val="00B12DB0"/>
    <w:rPr>
      <w:sz w:val="16"/>
      <w:szCs w:val="16"/>
    </w:rPr>
  </w:style>
  <w:style w:type="paragraph" w:styleId="CommentText">
    <w:name w:val="annotation text"/>
    <w:basedOn w:val="Normal"/>
    <w:link w:val="CommentTextChar"/>
    <w:uiPriority w:val="99"/>
    <w:semiHidden/>
    <w:unhideWhenUsed/>
    <w:rsid w:val="00B12DB0"/>
    <w:rPr>
      <w:sz w:val="20"/>
      <w:szCs w:val="20"/>
    </w:rPr>
  </w:style>
  <w:style w:type="character" w:customStyle="1" w:styleId="CommentTextChar">
    <w:name w:val="Comment Text Char"/>
    <w:basedOn w:val="DefaultParagraphFont"/>
    <w:link w:val="CommentText"/>
    <w:uiPriority w:val="99"/>
    <w:semiHidden/>
    <w:rsid w:val="00B12DB0"/>
    <w:rPr>
      <w:sz w:val="20"/>
      <w:szCs w:val="20"/>
    </w:rPr>
  </w:style>
  <w:style w:type="paragraph" w:styleId="CommentSubject">
    <w:name w:val="annotation subject"/>
    <w:basedOn w:val="CommentText"/>
    <w:next w:val="CommentText"/>
    <w:link w:val="CommentSubjectChar"/>
    <w:uiPriority w:val="99"/>
    <w:semiHidden/>
    <w:unhideWhenUsed/>
    <w:rsid w:val="00B12DB0"/>
    <w:rPr>
      <w:b/>
      <w:bCs/>
    </w:rPr>
  </w:style>
  <w:style w:type="character" w:customStyle="1" w:styleId="CommentSubjectChar">
    <w:name w:val="Comment Subject Char"/>
    <w:basedOn w:val="CommentTextChar"/>
    <w:link w:val="CommentSubject"/>
    <w:uiPriority w:val="99"/>
    <w:semiHidden/>
    <w:rsid w:val="00B12DB0"/>
    <w:rPr>
      <w:b/>
      <w:bCs/>
      <w:sz w:val="20"/>
      <w:szCs w:val="20"/>
    </w:rPr>
  </w:style>
  <w:style w:type="character" w:styleId="Hyperlink">
    <w:name w:val="Hyperlink"/>
    <w:basedOn w:val="DefaultParagraphFont"/>
    <w:uiPriority w:val="99"/>
    <w:unhideWhenUsed/>
    <w:rsid w:val="00E413B5"/>
    <w:rPr>
      <w:color w:val="0000FF" w:themeColor="hyperlink"/>
      <w:u w:val="single"/>
    </w:rPr>
  </w:style>
  <w:style w:type="paragraph" w:customStyle="1" w:styleId="s4-wptoptable1">
    <w:name w:val="s4-wptoptable1"/>
    <w:basedOn w:val="Normal"/>
    <w:rsid w:val="00521948"/>
    <w:pPr>
      <w:spacing w:before="100" w:beforeAutospacing="1" w:after="100" w:afterAutospacing="1"/>
    </w:pPr>
    <w:rPr>
      <w:rFonts w:eastAsia="Times New Roman"/>
      <w:sz w:val="24"/>
      <w:szCs w:val="24"/>
    </w:rPr>
  </w:style>
  <w:style w:type="paragraph" w:styleId="NoSpacing">
    <w:name w:val="No Spacing"/>
    <w:uiPriority w:val="1"/>
    <w:qFormat/>
    <w:rsid w:val="0057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8114">
      <w:bodyDiv w:val="1"/>
      <w:marLeft w:val="0"/>
      <w:marRight w:val="0"/>
      <w:marTop w:val="0"/>
      <w:marBottom w:val="0"/>
      <w:divBdr>
        <w:top w:val="none" w:sz="0" w:space="0" w:color="auto"/>
        <w:left w:val="none" w:sz="0" w:space="0" w:color="auto"/>
        <w:bottom w:val="none" w:sz="0" w:space="0" w:color="auto"/>
        <w:right w:val="none" w:sz="0" w:space="0" w:color="auto"/>
      </w:divBdr>
    </w:div>
    <w:div w:id="104083402">
      <w:bodyDiv w:val="1"/>
      <w:marLeft w:val="0"/>
      <w:marRight w:val="0"/>
      <w:marTop w:val="0"/>
      <w:marBottom w:val="0"/>
      <w:divBdr>
        <w:top w:val="none" w:sz="0" w:space="0" w:color="auto"/>
        <w:left w:val="none" w:sz="0" w:space="0" w:color="auto"/>
        <w:bottom w:val="none" w:sz="0" w:space="0" w:color="auto"/>
        <w:right w:val="none" w:sz="0" w:space="0" w:color="auto"/>
      </w:divBdr>
    </w:div>
    <w:div w:id="998734625">
      <w:bodyDiv w:val="1"/>
      <w:marLeft w:val="0"/>
      <w:marRight w:val="0"/>
      <w:marTop w:val="0"/>
      <w:marBottom w:val="0"/>
      <w:divBdr>
        <w:top w:val="none" w:sz="0" w:space="0" w:color="auto"/>
        <w:left w:val="none" w:sz="0" w:space="0" w:color="auto"/>
        <w:bottom w:val="none" w:sz="0" w:space="0" w:color="auto"/>
        <w:right w:val="none" w:sz="0" w:space="0" w:color="auto"/>
      </w:divBdr>
    </w:div>
    <w:div w:id="1680693683">
      <w:bodyDiv w:val="1"/>
      <w:marLeft w:val="0"/>
      <w:marRight w:val="0"/>
      <w:marTop w:val="0"/>
      <w:marBottom w:val="0"/>
      <w:divBdr>
        <w:top w:val="none" w:sz="0" w:space="0" w:color="auto"/>
        <w:left w:val="none" w:sz="0" w:space="0" w:color="auto"/>
        <w:bottom w:val="none" w:sz="0" w:space="0" w:color="auto"/>
        <w:right w:val="none" w:sz="0" w:space="0" w:color="auto"/>
      </w:divBdr>
    </w:div>
    <w:div w:id="2013412177">
      <w:bodyDiv w:val="1"/>
      <w:marLeft w:val="0"/>
      <w:marRight w:val="0"/>
      <w:marTop w:val="0"/>
      <w:marBottom w:val="0"/>
      <w:divBdr>
        <w:top w:val="none" w:sz="0" w:space="0" w:color="auto"/>
        <w:left w:val="none" w:sz="0" w:space="0" w:color="auto"/>
        <w:bottom w:val="none" w:sz="0" w:space="0" w:color="auto"/>
        <w:right w:val="none" w:sz="0" w:space="0" w:color="auto"/>
      </w:divBdr>
    </w:div>
    <w:div w:id="209461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C1E6750570C42B0EAE66A71D694E9" ma:contentTypeVersion="0" ma:contentTypeDescription="Create a new document." ma:contentTypeScope="" ma:versionID="979b44759b0cfb03b7e92b69f97d6d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C4135-AC50-4A9C-A4A7-61A4370AA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9D665-058B-4E5D-AF53-470ADAC1026B}">
  <ds:schemaRefs>
    <ds:schemaRef ds:uri="http://schemas.microsoft.com/sharepoint/v3/contenttype/forms"/>
  </ds:schemaRefs>
</ds:datastoreItem>
</file>

<file path=customXml/itemProps3.xml><?xml version="1.0" encoding="utf-8"?>
<ds:datastoreItem xmlns:ds="http://schemas.openxmlformats.org/officeDocument/2006/customXml" ds:itemID="{F98E1A03-90DA-452F-A68F-F4FA7C70904C}">
  <ds:schemaRefs>
    <ds:schemaRef ds:uri="http://schemas.openxmlformats.org/officeDocument/2006/bibliography"/>
  </ds:schemaRefs>
</ds:datastoreItem>
</file>

<file path=customXml/itemProps4.xml><?xml version="1.0" encoding="utf-8"?>
<ds:datastoreItem xmlns:ds="http://schemas.openxmlformats.org/officeDocument/2006/customXml" ds:itemID="{8586B0A7-6E48-4945-9424-D7AAED7312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PIMCO</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Susan</dc:creator>
  <cp:lastModifiedBy>Nakawatase, Keri</cp:lastModifiedBy>
  <cp:revision>3</cp:revision>
  <cp:lastPrinted>2015-09-16T20:28:00Z</cp:lastPrinted>
  <dcterms:created xsi:type="dcterms:W3CDTF">2025-05-16T14:33:00Z</dcterms:created>
  <dcterms:modified xsi:type="dcterms:W3CDTF">2025-05-16T14:36:00Z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0x0101006F7C1E6750570C42B0EAE66A71D694E9</vt:lpwstr>
  </property>
</Properties>
</file>